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D-3113/2024 vom 29. Mai 2024</w:t>
      </w:r>
    </w:p>
    <w:p>
      <w:r>
        <w:t>Bundesverwaltungsgericht, 2024-05-29, FR</w:t>
      </w:r>
    </w:p>
    <w:p>
      <w:r>
        <w:rPr>
          <w:b/>
        </w:rPr>
        <w:t xml:space="preserve">Quelle: </w:t>
      </w:r>
      <w:r>
        <w:t>https://mcp.opencaselaw.ch/entscheid/bvger_D-3113_2024</w:t>
      </w:r>
    </w:p>
    <w:p>
      <w:r>
        <w:t>FR: TAF D-3113/2024 du 29 mai 2024</w:t>
      </w:r>
    </w:p>
    <w:p>
      <w:r>
        <w:t>IT: TAF D-3113/2024 del 29 maggio 2024</w:t>
      </w:r>
    </w:p>
    <w:p>
      <w:pPr>
        <w:pStyle w:val="Heading2"/>
      </w:pPr>
      <w:r>
        <w:t>Regeste</w:t>
      </w:r>
    </w:p>
    <w:p>
      <w:r>
        <w:t>Asile et renvoi (procédure accélérée)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recourants, au SEM et à l'autorité cantonale. Le juge unique : Le greffier : Yanick Felley Léo Charveys Expédition :</w:t>
      </w:r>
    </w:p>
    <w:p>
      <w:r>
        <w:rPr>
          <w:b/>
        </w:rPr>
        <w:t>E. 21</w:t>
      </w:r>
    </w:p>
    <w:p>
      <w:r>
        <w:t>février 2008 concernant les frais, dépens et indemnités fixés par le Tribunal administratif fédéral (FITAF [RS 173.320.2]),</w:t>
      </w:r>
    </w:p>
    <w:p>
      <w:r>
        <w:t>(dispositif : page suivante)</w:t>
      </w:r>
    </w:p>
    <w:p>
      <w:r>
        <w:t>D-3113/2024 Page 11 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