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D-3101/2014 vom 23. Dezember 2014</w:t>
      </w:r>
    </w:p>
    <w:p>
      <w:r>
        <w:t>Bundesverwaltungsgericht, 2014-12-23, FR</w:t>
      </w:r>
    </w:p>
    <w:p>
      <w:r>
        <w:rPr>
          <w:b/>
        </w:rPr>
        <w:t xml:space="preserve">Quelle: </w:t>
      </w:r>
      <w:r>
        <w:t>https://mcp.opencaselaw.ch/entscheid/bvger_D-3101_2014</w:t>
      </w:r>
    </w:p>
    <w:p>
      <w:r>
        <w:t>FR: TAF D-3101/2014 du 23 décembre 2014</w:t>
      </w:r>
    </w:p>
    <w:p>
      <w:r>
        <w:t>IT: TAF D-3101/2014 del 23 dicembre 2014</w:t>
      </w:r>
    </w:p>
    <w:p>
      <w:pPr>
        <w:pStyle w:val="Heading2"/>
      </w:pPr>
      <w:r>
        <w:t>Regeste</w:t>
      </w:r>
    </w:p>
    <w:p>
      <w:r>
        <w:t>Visa à validité territoriale limitée (VTL)</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citées à l'art. 33 LTAF. En particulier, les décisions sur opposition en matière de visa Schengen prononcées par l'ODM - lequel constitue une unité de l'administration fédérale au sens de l'art. 33 let. d LTAF - n'entrent pas dans le champ d'application de l'art. 32 LTAF, et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 applicable par renvoi de l'art. 112 al. 1 LEtr).</w:t>
      </w:r>
    </w:p>
    <w:p>
      <w:r>
        <w:rPr>
          <w:b/>
        </w:rPr>
        <w:t>E. 1.3</w:t>
      </w:r>
    </w:p>
    <w:p>
      <w:r>
        <w:t>Le recourant a pris part à la procédure d'opposition devant l'autorité inférieure, est spécialement atteint par la décision attaquée et a un intérêt digne de protection à son annulation ou sa modification, conformément à l'art. 48 al. 1 PA ; il a donc qualité pour recourir (cf. aussi arrêt du Tribunal C-4524/2012 du 11 mars 2014 consid. 1.3). Le recours, présenté dans la forme (cf. art. 52 al. 1 PA) et le délai (cf. art. 50 al. 1 PA) prescrits par la loi, est recevable.</w:t>
      </w:r>
    </w:p>
    <w:p>
      <w:r>
        <w:rPr>
          <w:b/>
        </w:rPr>
        <w:t>E. 2</w:t>
      </w:r>
    </w:p>
    <w:p>
      <w:r>
        <w:t>Le recourant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w:t>
      </w:r>
    </w:p>
    <w:p>
      <w:r>
        <w:t>L'autorité de recours n'est pas liée par les motifs invoqués à l'appui du recours (cf. art. 62 al. 4 PA), ni par les considérants de la décision attaquée (cf. André MOSER et al., Prozessieren vor dem Bundesverwaltungsgericht, 2013, ch. 3.197). Aussi peut-elle admettre ou rejeter le pourvoi pour d'autres motifs que ceux invoqués. Dans son arrêt, elle prend en considération l'état de fait existant au moment où elle statue (cf. ATAF 2014/1 consid. 2).</w:t>
      </w:r>
    </w:p>
    <w:p>
      <w:r>
        <w:rPr>
          <w:b/>
        </w:rPr>
        <w:t>E. 4</w:t>
      </w:r>
    </w:p>
    <w:p>
      <w:r>
        <w:t>4.1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w:t>
      </w:r>
    </w:p>
    <w:p>
      <w:r>
        <w:rPr>
          <w:b/>
        </w:rPr>
        <w:t>E. 4.2</w:t>
      </w:r>
    </w:p>
    <w:p>
      <w:r>
        <w:t>Les dispositions suisses sur la procédure en matière de visa ainsi que sur l'entrée et la sortie de ce pays ne s'appliquent que dans la mesure où les accords d'association à Schengen, qui sont mentionnés à l'annexe 1, ch. 1 de la LEtr, ne contiennent pas de dispositions divergentes (cf. art. 2 al. 4 et 5 LEtr).</w:t>
      </w:r>
    </w:p>
    <w:p>
      <w:r>
        <w:rPr>
          <w:b/>
        </w:rPr>
        <w:t>E. 4.3</w:t>
      </w:r>
    </w:p>
    <w:p>
      <w:r>
        <w:t>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p.1-32]), dont l'art. 5 a été modifié par l'art. 1er du 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et les Règlements (CE) n° 767/2008 et (CE) n° 810/2009 du Parlement européen et du Conseil (JO L 182 du 29 juin 2013).</w:t>
      </w:r>
    </w:p>
    <w:p>
      <w:r>
        <w:rPr>
          <w:b/>
        </w:rPr>
        <w:t>E. 4.4</w:t>
      </w:r>
    </w:p>
    <w:p>
      <w:r>
        <w:t>Les conditions d'entrée ainsi prévues correspondent, pour l'essentiel, à celles posées par l'art. 5 LEtr. Cela est d'ailleurs corroboré par le règlement (CE) n° 810/2009 du Parlement européen et du Conseil du 13 juillet 2009 établissant un code communautaire des visas (code des visas [JO L 243 du 15 septembre 2009], modifié par l'art. 6 du règlement (UE) n°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4.5</w:t>
      </w:r>
    </w:p>
    <w:p>
      <w:r>
        <w:t>Par ailleurs, si les conditions pour l'octroi d'un visa uniforme pour l'espace Schengen ne sont pas remplies, un Etat membre peut, à titre exceptionnel, accorder l'entrée en Suisse, pour un séjour d'une durée n'excédant pas 90 jours, notamment en raison de motifs humanitaires ou d'un intérêt national ou en raison d'obligations internationales (cf. art. 2 al. 4 et art. 12 al. 4 OEV, art. 25 par. 1 let. a du code des visas et art. 5 par. 4 let. c du code frontières Schengen). L'art. 2 al. 4 OEV, entré en vigueur le 1er octobre 2012, a été édicté par le Conseil fédéral suite à l'abrogation, le 29 septembre 2012, de l'ancien art. 20 LAsi, lequel donnait la possibilité aux intéressés de déposer une demande d'asile à l'étranger. Cette nouvelle disposition permet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90 jours (cf. Message du Conseil fédéral du 26 mai 2010 concernant la modification de la loi sur l'asile, [ci-après : Message] FF 2010 4071)</w:t>
      </w:r>
    </w:p>
    <w:p>
      <w:r>
        <w:rPr>
          <w:b/>
        </w:rPr>
        <w:t>E. 4.6</w:t>
      </w:r>
    </w:p>
    <w:p>
      <w:r>
        <w:t>Un visa pour des motifs humanitaires peut ainsi être délivré si, dans un cas d'espèce,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bien réelle et imminente. Il est alors impératif d'examiner attentivement les spécificités de la demande de visa. Si l'intéressé se trouve déjà dans un Etat tiers, on peut considérer en règle générale qu'il n'est plus menacé. Les conditions d'entrée sont ainsi plus restrictives dans le cadre de la procédure d'octroi d'un visa qu'en cas de demande à l'étranger (cf. Message, FF 2010 4035, spéc. 4048, 4052 et 4070 s.).</w:t>
      </w:r>
    </w:p>
    <w:p>
      <w:r>
        <w:rPr>
          <w:b/>
        </w:rPr>
        <w:t>E. 5</w:t>
      </w:r>
    </w:p>
    <w:p>
      <w:r>
        <w:t>En l'occurrence, il convient en premier lieu d'examiner si les conditions pour l'octroi d'un visa uniforme pour l'espace Schengen sont remplies. Selon l'ODM, compte tenu de la situation socioéconomique et politique du pays d'origine de l'intéressé, la garantie qu'il quittera la Suisse à l'échéance du visa requis n'était pas remplie. Il est indéniable qu'en raison de ce contexte, seuls des liens très étroits avec des membres de la famille résidant en Syrie seraient susceptibles de garantir un retour dans ce pays. Comme l'expérience l'a maintes fois démontré, un grand nombre de personnes tentent de se rendre à l'étranger dans de telles conditions précaires. Aussi, le Tribunal partage l'avis de l'ODM, selon lequel il ne paraît pas assuré que l'intéressé quitte la Suisse à l'issue de son visa et, par conséquent, que les conditions à l'octroi d'un visa uniforme pour l'espace Schengen ne sont pas remplies. Ce point n'est du reste pas contesté par le recourant.</w:t>
      </w:r>
    </w:p>
    <w:p>
      <w:r>
        <w:rPr>
          <w:b/>
        </w:rPr>
        <w:t>E. 6</w:t>
      </w:r>
    </w:p>
    <w:p>
      <w:r>
        <w:t>Il reste ainsi à examiner si les conditions d'octroi d'un visa à validité territoriale limitée pour des motifs humanitaires sont remplies.</w:t>
      </w:r>
    </w:p>
    <w:p>
      <w:r>
        <w:rPr>
          <w:b/>
        </w:rPr>
        <w:t>E. 6.1</w:t>
      </w:r>
    </w:p>
    <w:p>
      <w:r>
        <w:t>Dans ce cadre, il convient de tenir compte de la finalité dudit visa, qui oblige le titulaire de déposer une demande d'asile dans les 90 jours après son arrivée en Suisse, faute de quoi il devra quitter ce pays (cf. consid. 4.5). En effet, il ne serait pas admissible que par la voie du visa humanitaire, les intéressés contournent les conditions générales prévues dans le droit Schengen, en occultant le véritable motif de leur séjour en Suisse. Dès lors, contrairement à ce qu'allègue le recourant, c'est à bon droit que l'ODM examine les garanties quant à la sortie de Suisse des requérants dans ce cadre.</w:t>
      </w:r>
    </w:p>
    <w:p>
      <w:r>
        <w:rPr>
          <w:b/>
        </w:rPr>
        <w:t>E. 6.2</w:t>
      </w:r>
    </w:p>
    <w:p>
      <w:r>
        <w:t>S'agissant de ses motifs humanitaires, l'intéressé allègue que le groupe de rebelles dont il faisait partie depuis 2012 a été démantelé par les services de renseignements gouvernementaux syriens. Son frère ainsi que douze autres personnes ont été froidement exécutés en mai 2012. Depuis cet événement, il est recherché par le régime syrien, raison pour laquelle il s'est exilé en Turquie afin de se protéger des persécutions de celui-ci. Toutefois, dans ce pays, il aurait été victime également de menaces de mort, les schémas de confrontation initiés en Syrie se reproduisant sur le sol turc.</w:t>
      </w:r>
    </w:p>
    <w:p>
      <w:r>
        <w:rPr>
          <w:b/>
        </w:rPr>
        <w:t>E. 6.3</w:t>
      </w:r>
    </w:p>
    <w:p>
      <w:r>
        <w:t>En l'espèce, l'intéressé n'a démontré aucun élément susceptible de démontrer que sa vie ou son intégrité physique serait directement, sérieusement et concrètement menacée en Turquie par des compatriotes qui seraient à sa recherche jusque dans ce pays. Il a certes produit un document attestant de la mort de son frère, abattu parce qu'il avait refusé de tirer sur des manifestants. Selon ce document, celui-ci aurait commis un refus d'ordre, certainement en tant que membre engagé dans une unité des forces gouvernementales. Toutefois, le recourant a déclaré, lors de sa demande de visa humanitaire, que son frère avait été tué par les troupes gouvernementales suite au démantèlement du groupe de rebelles auquel il appartenait (cf. annexe à la demande du 24 février 2014). Pareille contradiction jette un sérieux doute sur l'existence de réels motifs de fuite du recourant de Syrie, et partant, de poursuites à son encontre jusqu'en Turquie. En tout état de cause, ces faits se seraient produits en Syrie et non en Turquie.</w:t>
      </w:r>
    </w:p>
    <w:p>
      <w:r>
        <w:rPr>
          <w:b/>
        </w:rPr>
        <w:t>E. 6.4</w:t>
      </w:r>
    </w:p>
    <w:p>
      <w:r>
        <w:t>Cette analyse est renforcée par d'autres éléments mettant à néant la crédibilité des déclarations de l'intéressé. D'abord, poursuivi par les forces gouvernementales, le recourant aurait fui la Syrie suite à l'assassinat de son frère, soit en mai 2012. Il ressort toutefois des échanges de courriers tant avec la représentation suisse en Turquie qu'avec l'ODM, faits par l'intermédiaire des époux B._______, que l'intéressé se trouve "actuellement en Turquie" (cf. courrier du 5 février 2014), alors que, sur le formulaire "demande de visa Schengen" rempli au Consulat général de Suisse à Istanbul le 18 février 2014, l'intéressé a indiqué qu'il résidait en Syrie. Ensuite, le 1er avril 2014, celui-ci a signé une procuration en faveur des époux en question en indiquant C._______ comme adresse; dans son courrier du 29 avril 2014, il a prétendu vivre caché en Turquie, ne sortant pratiquement jamais de chez lui. Enfin, il ressort d'un courriel du 15 avril 2014, émanant de la représentation suisse à Istanbul et adressé à l'ODM, qu'il s'avère difficile de faire notifier la décision à A._______, séjournant alors en Syrie et ne pouvant donc pas se présenter personnellement au consulat (cf. pièce n°230 du dossier ODM). Cela étant, quelle que soit la version retenue, le Tribunal ne peut conclure que le recourant se trouve en Turquie dans une situation de détresse particulière rendant indispensable l'intervention des autorités (cf. pt. 4.6). En effet, à supposer qu'il ait quitté la Syrie pour la Turquie en mai 2012 en raison des recherches à son encontre et à supposer toujours que les menaces sérieuses et imminentes n'aient pas cessé dans son pays de séjour, il n'aurait pas attendu plus de 18 mois pour y déposer une demande de visa humanitaire. L'intéressé n'allègue en tout cas aucun changement de circonstances depuis son arrivée en Turquie qui serait susceptible d'expliquer cette attente. Si, dans l'autre cas de figure, l'intéressé séjourne en Turquie depuis février 2014, ceci signifierait que, contrairement à ses affirmations, il n'a pas quitté la Syrie suite au décès de son frère, mais plus d'une année après. Ce comportement serait illogique pour une personne qui se dit pourchassée jusqu'en Turquie par les forces gouvernementales, notamment en raison de ses activités en faveur d'un mouvement rebelle. Ce comportement serait d'autant plus contraire à la logique si l'intéressé séjournait en Syrie lorsque le Consulat général de Suisse à Istanbul a voulu lui notifier un courrier.</w:t>
      </w:r>
    </w:p>
    <w:p>
      <w:r>
        <w:rPr>
          <w:b/>
        </w:rPr>
        <w:t>E. 6.5</w:t>
      </w:r>
    </w:p>
    <w:p>
      <w:r>
        <w:t>Au regard de ce qui précède, le Tribunal arrive à la conclusion que l'intéressé ne se trouve pas en Turquie face à une menace réelle et imminente qui émanerait de compatriotes à sa recherche. N'y change rien le fait que son nom figure sur des listes de personnes recherchées par le régime syrien, pareilles listes ne revêtant pas le caractère de documents officiels. Quant à l'infraction qui aurait été retenue à son encontre (selon traduction "démonstrateur inductible automobiliste", cf. annexe n°5 du recours), elle confirme la thèse selon laquelle celui-ci n'est pas un opposant que le régime syrien menacerait jusqu'en Turquie.</w:t>
      </w:r>
    </w:p>
    <w:p>
      <w:r>
        <w:rPr>
          <w:b/>
        </w:rPr>
        <w:t>E. 6.6</w:t>
      </w:r>
    </w:p>
    <w:p>
      <w:r>
        <w:t>En tant que Syrien, le recourant n'a pas une situation facile en Turquie, ce pays étant confronté à un grand nombre de réfugiés, dont la prise en charge présente une tâche importante et n'est pas toujours complètement assurée. Il n'existe toutefois pas de danger concret de refoulement en Syrie à l'encontre de l'intéressé, de sorte qu'on peut exiger de lui, encore jeune et sans problème de santé avéré, qu'il s'adresse aux services compétents turcs ou aux organisations humanitaires sur place en vue d'obtenir protection et assistance.</w:t>
      </w:r>
    </w:p>
    <w:p>
      <w:r>
        <w:rPr>
          <w:b/>
        </w:rPr>
        <w:t>E. 7</w:t>
      </w:r>
    </w:p>
    <w:p>
      <w:r>
        <w:t>Au vu de ce qui précède, c'est à juste titre que l'ODM a considéré que l'intéressé ne se trouvait pas dans une situation de danger imminent en Turquie justifiant l'octroi d'un visa humanitaire.</w:t>
      </w:r>
    </w:p>
    <w:p>
      <w:r>
        <w:rPr>
          <w:b/>
        </w:rPr>
        <w:t>E. 8</w:t>
      </w:r>
    </w:p>
    <w:p>
      <w:r>
        <w:t>Partant, le recours doit être rejeté.</w:t>
      </w:r>
    </w:p>
    <w:p>
      <w:r>
        <w:rPr>
          <w:b/>
        </w:rPr>
        <w:t>E. 9</w:t>
      </w:r>
    </w:p>
    <w:p>
      <w:r>
        <w:t>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