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D-3101/2012 vom 19. Juni 2012</w:t>
      </w:r>
    </w:p>
    <w:p>
      <w:r>
        <w:t>Bundesverwaltungsgericht, 2012-06-19, DE</w:t>
      </w:r>
    </w:p>
    <w:p>
      <w:r>
        <w:rPr>
          <w:b/>
        </w:rPr>
        <w:t xml:space="preserve">Quelle: </w:t>
      </w:r>
      <w:r>
        <w:t>https://mcp.opencaselaw.ch/entscheid/bvger_D-3101_2012</w:t>
      </w:r>
    </w:p>
    <w:p>
      <w:r>
        <w:t>FR: TAF D-3101/2012 du 19 juin 2012</w:t>
      </w:r>
    </w:p>
    <w:p>
      <w:r>
        <w:t>IT: TAF D-3101/2012 del 19 giugno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Der Umstand, dass das betreffende Gesuch nicht bei einer Schweizeri­schen Vertretung, sondern direkt beim BFM eingereicht wurde, ist nicht massgebend (vgl. für die in dieser Hinsicht weiterhin geltende Praxis der vormaligen Schweizerischen Asylrekurskommission [ARK] die Feststellun­gen in Entscheidungen und Mitteilungen der Schweizerischen Asylrekurskommission EMARK 1997 Nr. 15 E. 2b, die sich zwar auf den da­maligen Art. 13a AsylG beziehen, jedoch auch nach geltendem Asylge­setz massgebend bleiben).</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 (vgl. auch BVGE E-3162 vom 6. Dezember 2011).</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Laut Art. 20 Abs. 2 AsylG bewilligt das BFM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4.3</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Art. 52 Abs. 2 AsylG).</w:t>
      </w:r>
    </w:p>
    <w:p>
      <w:r>
        <w:rPr>
          <w:b/>
        </w:rPr>
        <w:t>E. 5</w:t>
      </w:r>
    </w:p>
    <w:p>
      <w:r>
        <w:t>Vorauszuschicken ist, dass das BFM das Asylgesuch des Beschwerdeführers trotz zunächst erteilter Einreisebewilligung aufgrund der dannzumal vorliegenden Informationen zu Recht mit Verfügung vom 20. September 2011 abgeschrieben hat. Entsprechend war das Verfahren aufgrund der Eingabe vom 8. November 2011 wieder aufzunehmen. Aufgrund der sich inzwischen veränderten Sachumstände war das Gesuch sodann neu zu beurteilen. Dieses Vorgehen des BFM ist nicht zu beanstanden.</w:t>
      </w:r>
    </w:p>
    <w:p>
      <w:r>
        <w:rPr>
          <w:b/>
        </w:rPr>
        <w:t>E. 6.1</w:t>
      </w:r>
    </w:p>
    <w:p>
      <w:r>
        <w:t>Gemäss Praxis des Bundesverwaltungsgerichts ist die asylsuchende Per­son im Auslandverfahren in der Regel zu befragen. Davon kann nur ab­gewi­chen werden, wenn eine Befragung faktisch oder aus organisatori­schen beziehungsweise kapazitätsmässigen Gründen nicht möglich ist. Falls die Befragung nicht durchge­führt werden kann, muss die ein Ge­such stellende Person - soweit möglich und notwendig - mittels eines indivi­dualisierten und konkretisierten Schreibens aufgefordert werden, ihre Gründe für das Asylgesuch schriftlich einzureichen. Dabei ist sie auf die allfällige Konsequenz ei­nes negativen Entscheids infolge Verlet­zung ih­rer Mitwirkungspflicht aufmerksam zu machen (vgl. BVGE 2007/30 E. 5).</w:t>
      </w:r>
    </w:p>
    <w:p>
      <w:r>
        <w:rPr>
          <w:b/>
        </w:rPr>
        <w:t>E. 6.2</w:t>
      </w:r>
    </w:p>
    <w:p>
      <w:r>
        <w:t>Das BFM hat keine Befragung durchgeführt, den damit einhergehen­den Ver­fahrensumständen jedoch im Rahmen der Zwischenverfü­gun­g vom 11. April 2012 Rechnung getragen. Dabei verwies es auf die Unmöglichkeit der Befragung und stellte einen individuellen Fragenkatalog auf. Der Beschwerdeführer konnte mit Eingabe vom 23. April 2012 beziehungsweise 4. Mai 2012 (Eingang BFM) entsprechend Stellung nehmen. Den verfahrensrechtlichen Voraussetzungen wurde damit genügend Rechnung getragen, das rechtliche Gehör des Beschwerdeführers wurde praxisgemäss gewahrt.</w:t>
      </w:r>
    </w:p>
    <w:p>
      <w:r>
        <w:rPr>
          <w:b/>
        </w:rPr>
        <w:t>E. 7.1</w:t>
      </w:r>
    </w:p>
    <w:p>
      <w:r>
        <w:t>In Übereinstimmung mit der Vorinstanz ist zunächst festzustellen, dass eine flüchtlingsrechtlich relevante Gefährdung des Beschwerdefüh­rers im Falle seiner Rückkehr nach Eritrea durchaus gegeben sein könnte. Er befindet sich aktuell indes in Uganda, was hinsichtlich der bei ei­nem im Ausland gestellten Asylgesuch weiter zu prüfenden Frage, ob ihm die Aufnahme in einem Drittstaat zugemutet werden kann, zu be­rück­sichtigen ist (Art. 52 Abs. 2 AsylG). Gemäss Aktenlage ist er an seinem Zu­fluchtsort als Flüchtling registriert worden. Er macht geltend, unter sehr schwierigen Verhältnissen zu leiden und eine Deportation nach Eritrea be­fürchten zu müssen.</w:t>
      </w:r>
    </w:p>
    <w:p>
      <w:r>
        <w:rPr>
          <w:b/>
        </w:rPr>
        <w:t>E. 7.2</w:t>
      </w:r>
    </w:p>
    <w:p>
      <w:r>
        <w:t>Die Argumente des Beschwerdeführers vermögen indes nicht zu überzeu­gen. Vorab ist darauf hinzuweisen, dass das BFM in ausführli­chen Erwägungen die politische Konstellation hinsichtlich der Länder Erit­rea und Uganda erörterte und dabei Sachverhalte erwähnte, welche allge­mein verfügbaren Quellen entnommen werden können. Für seine ei­gentliche Schlussfolgerung, es bestünden keine konkreten Hinweise für eine drohende Rückschaffung nach Eritrea aufgrund regierungsfreundlich gesinnter Personen in B._______ , erwähnte es zwar keine Quelle, was aber insofern nicht erforderlich war, als es sich dabei primär um eine Sach­verhaltswürdigung der Erstinstanz im Rahmen der zuvor skizzierten all­gemeinen Lage handelt. Im Übrigen ist auch der Hinweis des BFM auf ein Urteil des Bundesverwaltungsgerichts zu somalischen Flüchtlingen in Äthiopien nicht zu beanstanden, da es damit offenbar lediglich die Zumutbar­keit des Aufenthalts in Flüchtlingslagern unter gewissen Voraussetzungen zum Ausdruck bringen wollte. Die ausführlichen Erwägungen lassen ferner auch nicht darauf schliessen, das BFM habe die Untersuchungsmaxime verletzt.</w:t>
      </w:r>
    </w:p>
    <w:p>
      <w:r>
        <w:rPr>
          <w:b/>
        </w:rPr>
        <w:t>E. 7.3</w:t>
      </w:r>
    </w:p>
    <w:p>
      <w:r>
        <w:t>Zur Lage für Flüchtlinge in Uganda kann Bezug genommen werden auf BVGE E-5089/2011 vom 17. Januar 2012 E. 5.3.8 ff. und die darin er­wähnten Quellen. Es ist demnach hervorzuheben, dass das Land über ein seit dem Jahre 2009 in Kraft getretenes fortschrittliches Flüchtlingsge­setz "Refugee Act 2006" verfügt, gemäss welchem Flüchtlingen das Recht auf Arbeit und freie Mobilität gewährt wird, was in dieser Region ein­zigartig ist. Es steht Flüchtlingen in Uganda somit frei, sich in einem Flüchtlingscamp registrieren zu lassen oder sich anderswo niederzulas­sen. Lassen sie sich in einem Flüchtlingslager registrieren, werden sie so gut wie möglich versorgt. Gemäss einem Bericht des UNHCR aus dem Jahr 2011 komme es in Flüchtlingslagern indessen zu Versorgungsschwie­rigkeiten, insbesondere sauberes Wasser sei nicht in ausreichendem Mass vorhanden. Diese prekäre Lage gefährde auch die Si­cherheit, und der Zugang zu einer minimalen Gesundheitsversorgung könne nicht für alle gewährleistet werden. Frauen würden oft Opfer von se­xuellen Übergriffen. Was das Asylverfahren Ugandas betrifft ist festzuhalten, dass Uganda eine grundsätzlich flüchtlingsfreundliche Praxis und hohe Anerkennungs­quote aufweist, die vom UNHCR begrüsst wird. Hingegen kritisiert es, dass eine Polizeieinheit (Crime Intelligence Office) bei der Feststellung der Flüchtlingseigenschaft von Asylsuchenden mitwirke und Beschwer­den von Flüchtlingen oft nicht behandelt würden, weil es an unabhängi­gen Rechtsmittelinstanzen fehle. In der Kritik des UNHCR steht auch die ugandische Asylpolitik gegenüber ruandischen Asylsuchenden und Flüchtlingen. Im Juli 2010 seien aus den Flüchtlingslagern Nakivale und Kyaka II 1700 nur vermeintlich abgewiesene Asylsuchende gezwungen worden, nach Ruanda zurückzukehren, ob­wohl Uganda Signatarstaat der FK ist.</w:t>
      </w:r>
    </w:p>
    <w:p>
      <w:r>
        <w:rPr>
          <w:b/>
        </w:rPr>
        <w:t>E. 7.4</w:t>
      </w:r>
    </w:p>
    <w:p>
      <w:r>
        <w:t>Nach dem Gesagten ist mit dem BFM davon auszugehen, dass es dem Beschwerdeführer objek­tiv zumutbar ist, den in Uganda gegenüber der Verfol­gungsgefahr im Heimatstaat beste­henden Schutz weiterhin in An­spruch zu nehmen. So ist es ihm unbenommen, sich an das UNHCR oder eine ugandische Stelle zu wenden, falls er sich bei der Berücksichti­gung seiner Probleme benachteiligt fühlen sollte. Dies gilt auch in Be­zug auf die geltend gemachte Gefahr einer Entführung oder einer Depor­tation nach Eritrea. Anhaltspunkte für eine solche Gefahr werden in der Be­schwerde zwar im Rahmen des eingereichten Internet-Berichts insofern gel­tend gemacht, als ein Landsmann des Beschwerdeführers konkret sol­chen Behelligungen ausgesetzt gewesen sein soll. Abgesehen davon, dass die Entführung im besagten Fall offenbar nicht zustande kam und sich der Betroffene versteckt haben soll, ist aufgrund allenfalls möglicher Einschüchterungen noch nicht belegt, inwiefern der Beschwerdeführer schutzlos derartigen Behelligungen ausgesetzt wäre. Konkrete Behelligun­gen macht er in der Beschwerde zudem gar nicht geltend. Fer­ner wird auch im aktuellen Jahresbericht 2012 von Amnesty zwar die Situa­tion der ruandischen, nicht aber der eritreischen Flüchtlinge in Uganda kritisch beleuchtet. Im Übrigen verfügt der Beschwerdeführer in B._______ über eine Wohngelegenheit und kann auch mit der finanziellen Unterstützung von Verwandten rechnen. Gesundheitliche Probleme macht er nicht geltend.</w:t>
      </w:r>
    </w:p>
    <w:p>
      <w:r>
        <w:rPr>
          <w:b/>
        </w:rPr>
        <w:t>E. 7.5</w:t>
      </w:r>
    </w:p>
    <w:p>
      <w:r>
        <w:t>Weiter kam das BFM zum Schluss, die Abwägung der Gesamtum­stände und die Anknüpfung des Beschwerdeführers zur Schweiz, wel­che durch die Person C._______ geschaf­fen werde, führe nicht dazu, dass es gerade die Schweiz sein müsse, die ihm den Schutz zu gewähren habe. Dieser Einschät­zung der Sachlage und der Feststellung, dass die durch die ver­wandschaftliche Beziehung zum Rechtsvertreter bestehende Verbin­dung nicht eine enge Beziehungsnähe zu Schweiz darstelle, ist zuzu­stim­men. Auch in der Beschwerde fehlen Argumente, welche eine an­dere Sichtweise rechtfertigen würden.</w:t>
      </w:r>
    </w:p>
    <w:p>
      <w:r>
        <w:rPr>
          <w:b/>
        </w:rPr>
        <w:t>E. 7.6</w:t>
      </w:r>
    </w:p>
    <w:p>
      <w:r>
        <w:t>Eine Schutzgewährung durch die Schweiz aufgrund einer entsprechen­den Schutzbedürftigkeit erscheint somit gestützt auf Art. 52 Abs. 2 AsylG unter Berücksichtigung aller Umstände nicht als erforderlich. Auch die eingereichten Beweismittel führen zu keiner anderen Sicht­weise. Das BFM hat zu Recht die Einreise des Beschwerdeführers in die Schweiz gestützt auf Art. 20 Abs. 2 und 3 AsylG verweigert und sein Asylge­such gestützt auf Art. 3 AsylG abgelehnt.</w:t>
      </w:r>
    </w:p>
    <w:p>
      <w:r>
        <w:rPr>
          <w:b/>
        </w:rPr>
        <w:t>E. 8.1</w:t>
      </w:r>
    </w:p>
    <w:p>
      <w:r>
        <w:t>Ehegatten von Flüchtlingen und ihre minderjährigen Kinder werden als Flüchtlinge anerkannt und erhalten Asyl, sofern keine besonderen Um­stände dagegen sprechen (Art. 51 Abs. 1 AsylG). Andere nahe Angehö­rige von in der Schweiz lebenden Flüchtlingen können in das Famili­en­asyl eingeschlossen werden, wenn besondere Gründe für die Fami­lienverei­nigung sprechen (Ar. 51 Abs. 2 AsylG).</w:t>
      </w:r>
    </w:p>
    <w:p>
      <w:r>
        <w:rPr>
          <w:b/>
        </w:rPr>
        <w:t>E. 8.2</w:t>
      </w:r>
    </w:p>
    <w:p>
      <w:r>
        <w:t>In seinem Entscheid hat das BFM die Anforderungen von Art. 51 AsylG im Falle des in Uganda verbliebenen A._______ nicht geprüft. Dies erscheint insofern als vertretbar, als ein solcher Einbe­zug nicht geltend gemacht wurde und die entsprechenden Voraussetzun­gen ohnehin offensichtlich nicht erfüllt sind. So wird keine enge Bezie­hung des Be­schwerdeführers zum Rechtsvertreter im Sinne besonderer Um­stände vorgebracht; eine solche ist auch aus den Akten nicht erkenn­bar. Eine Schutzgewährung durch die Schweiz kommt somit auch ge­stützt auf Art. 51 AsylG nicht in Betracht.</w:t>
      </w:r>
    </w:p>
    <w:p>
      <w:r>
        <w:rPr>
          <w:b/>
        </w:rPr>
        <w:t>E. 9</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10</w:t>
      </w:r>
    </w:p>
    <w:p>
      <w:r>
        <w:t>Bei diesem Ausgang des Verfahrens wären die Kosten grund­sätzlich dem Beschwerdeführer aufzuerlegen (Art. 63 Abs. 1 VwVG). In Gutheissung des Gesuchs gemäss Art. 65 Abs. 1 VwVG ist indes von der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