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D-3099/2025 vom 14. Mai 2025</w:t>
      </w:r>
    </w:p>
    <w:p>
      <w:r>
        <w:t>Bundesverwaltungsgericht, 2025-05-14, DE</w:t>
      </w:r>
    </w:p>
    <w:p>
      <w:r>
        <w:rPr>
          <w:b/>
        </w:rPr>
        <w:t xml:space="preserve">Quelle: </w:t>
      </w:r>
      <w:r>
        <w:t>https://mcp.opencaselaw.ch/entscheid/bvger_D-3099_2025</w:t>
      </w:r>
    </w:p>
    <w:p>
      <w:r>
        <w:t>FR: TAF D-3099/2025 du 14 mai 2025</w:t>
      </w:r>
    </w:p>
    <w:p>
      <w:r>
        <w:t>IT: TAF D-3099/2025 del 14 maggio 2025</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Gesuche, mit denen nach einem Nichteintretensentscheid des Bundesverwaltungsgerichts wegen Nichtleistung oder nicht rechtzeitiger Leistung des erhobenen Kostenvorschusses das Vorliegen entschuldbarer Gründe geltend gemacht wird, welche die Partei an der rechtzeitigen Leistung des Kostenvorschusses gehindert hätten, werden gemäss koordinierter Praxis der Abteilungen IV und V grundsätzlich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in: Bernhard Waldmann/Philippe Weissenberger [Hrsg.], Praxiskommentar Verwaltungsverfahrensgesetz, 2. Aufl. 2016, Art. 24 N. 12 ff.; Urteil des BVGer F-3864/2020 vom 5. November 2020 E. 2.2, m.w.H.).</w:t>
      </w:r>
    </w:p>
    <w:p>
      <w:r>
        <w:rPr>
          <w:b/>
        </w:rPr>
        <w:t>E. 4</w:t>
      </w:r>
    </w:p>
    <w:p>
      <w:r>
        <w:t>Der Gesuchsteller erfuhr mit der Zustellung des Beschwerdeurteils D-1852/2025 vom 17. April 2025 vom Nichteintretensentscheid mangels fristgerechter Bezahlung des Kostenvorschusses. Daraufhin gelangte er innert rund zehn Tagen (mit Eingabe vom 30. April 2025) an das Bundesverwaltungsgericht und ersuchte um Wiederherstellung der Zahlungsfrist. Die am 17. April 2025 geleistete Zahlung ist als Nachholen der versäumten Rechtshandlung zu qualifizieren. Die formellen Voraussetzungen von Art. 24 Abs. 1 VwVG sind damit erfüllt, weshalb auf das Fristwiederherstellungsgesuch einzutreten ist.</w:t>
      </w:r>
    </w:p>
    <w:p>
      <w:r>
        <w:rPr>
          <w:b/>
        </w:rPr>
        <w:t>E. 5</w:t>
      </w:r>
    </w:p>
    <w:p>
      <w:r>
        <w:t>Der Gesuchsteller macht als Entschuldigung für die nicht fristgerechte Leistung des Kostenvorschusses sprachliche Verständigungsschwierigkeiten und fehlende finanzielle Mittel geltend, welche ihn an der rechtzeitigen Einzahlung gehindert hätten. Aus seiner Eingabe vom 9. April 2025 ergibt sich jedoch klar, dass er den Inhalt der Verfügung und die ihm angesetzte Frist zur Bezahlung des Kostenvorschusses verstanden hat. Darüber hinaus stand es ihm offen, sich Hilfe zu holen oder entsprechend zu informieren. Nach dem Gesagten sind die Vorbringen in seiner Eingabe vom 17. April 2025 offensichtlich nicht geeignet, die nicht fristgerechte Einzahlung des Kostenvorschusses zu entschuldigen. Bei dieser Sachlage ist nicht von einem unverschuldeten Versäumnis auszugehen; vielmehr muss sich der Gesuchsteller Nachlässigkeit vorwerfen lassen. Die (materiellen) Voraussetzungen für eine Wiederherstellung der Frist nach Art. 24 Abs. 1 VwVG sind somit nicht gegeben.</w:t>
      </w:r>
    </w:p>
    <w:p>
      <w:r>
        <w:rPr>
          <w:b/>
        </w:rPr>
        <w:t>E. 6</w:t>
      </w:r>
    </w:p>
    <w:p>
      <w:r>
        <w:t>Das Fristwiederherstellungsgesuch ist demnach abzuweisen und das Beschwerdeverfahren D-1852/2025 nicht wiederaufzunehmen.</w:t>
      </w:r>
    </w:p>
    <w:p>
      <w:r>
        <w:rPr>
          <w:b/>
        </w:rPr>
        <w:t>E. 7</w:t>
      </w:r>
    </w:p>
    <w:p>
      <w:r>
        <w:t>Mit dem vorliegenden Entscheid wird das Gesuch um Gewährung der aufschiebenden Wirkung gegenstandslos.</w:t>
      </w:r>
    </w:p>
    <w:p>
      <w:r>
        <w:rPr>
          <w:b/>
        </w:rPr>
        <w:t>E. 8</w:t>
      </w:r>
    </w:p>
    <w:p>
      <w:r>
        <w:t>Bei diesem Ausgang des Verfahrens sind dessen Kosten in der Höhe von Fr. 750.- dem Gesuchsteller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