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D-3098/2015 vom 24. März 2016</w:t>
      </w:r>
    </w:p>
    <w:p>
      <w:r>
        <w:t>Bundesverwaltungsgericht, 2016-03-24, DE</w:t>
      </w:r>
    </w:p>
    <w:p>
      <w:r>
        <w:rPr>
          <w:b/>
        </w:rPr>
        <w:t xml:space="preserve">Quelle: </w:t>
      </w:r>
      <w:r>
        <w:t>https://mcp.opencaselaw.ch/entscheid/bvger_D-3098_2015</w:t>
      </w:r>
    </w:p>
    <w:p>
      <w:r>
        <w:t>FR: TAF D-3098/2015 du 24 mars 2016</w:t>
      </w:r>
    </w:p>
    <w:p>
      <w:r>
        <w:t>IT: TAF D-3098/2015 del 24 marzo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(vgl. Art. 83 Bst. c Ziff. 1 BGG).</w:t>
      </w:r>
    </w:p>
    <w:p>
      <w:r>
        <w:rPr>
          <w:b/>
        </w:rPr>
        <w:t>E. 1.2</w:t>
      </w:r>
    </w:p>
    <w:p>
      <w:r>
        <w:t>Sofern das VGG oder die jeweilige Spezialgesetzgebung nichts anderes bestimmt, richtet sich das Verfahren nach dem VwVG (Art. 37 VGG).</w:t>
      </w:r>
    </w:p>
    <w:p>
      <w:r>
        <w:rPr>
          <w:b/>
        </w:rPr>
        <w:t>E. 1.3</w:t>
      </w:r>
    </w:p>
    <w:p>
      <w:r>
        <w:t>Der Beschwerdeführer ist zur Beschwerdeführung legitimiert (Art. 48 Abs. 1 VwVG), zumal er als Gastgeber der Gesuchstellenden in eigenem Namen gegen den ablehnenden Entscheid vom 14. November 2014 Einsprache erhoben hat und Adressat des angefochtenen Entscheids des SEM ist (vgl. BVGE 2014/1 E. 1.3.1). Auf die frist- und formgerecht eingereichte Beschwerde ist somit einzutreten (Art. 50 und Art. 52 Abs. 1 VwVG).</w:t>
      </w:r>
    </w:p>
    <w:p>
      <w:r>
        <w:rPr>
          <w:b/>
        </w:rPr>
        <w:t>E. 1.4</w:t>
      </w:r>
    </w:p>
    <w:p>
      <w:r>
        <w:t>Der Ordnung halber ist in Abweichung von der Zwischenverfügung vom 15. Juni 2015 festzuhalten, dass im vorliegenden Verfahren lediglich A._______ als Beschwerdeführer anzusehen ist. Der Umstand, dass auf dem Briefkopf der Beschwerde auch die Ehefrau des Beschwerdeführers in der Adresse aufgeführt ist, vermag ihre Eigenschaft als Beschwerdeführerin nicht zu begründen. Es geht aus der Beschwerde denn auch nicht hervor, dass sie sich im Beschwerdeverfahren erstmals als Beschwerdeführerin hätte konstituieren wollen, zumal nur A._______ die Beschwerde unterzeichnet hat.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3.2</w:t>
      </w:r>
    </w:p>
    <w:p>
      <w:r>
        <w:t>Der angefochtenen Verfügung liegen Gesuche von syrischen Staatsangehörigen um Erteilung von Schengen-Visa beziehungsweise humanitären Visa zugrunde. Die im AuG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3.3</w:t>
      </w:r>
    </w:p>
    <w:p>
      <w:r>
        <w:t>Angehörige von Staaten, die nicht Teil des Schengen-Raumes sind (sog.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Besteht eine Visumspflicht,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der Verordnung [EG] Nr. 562/2006 des Europäischen Parlaments und des Rates vom 15. März 2006 über einen Gemeinschaftskodex für das Überschreiten der Grenzen durch Personen [Schengener Grenzkodex, SGK, ABl. L 105 vom 13.04.2006; zuletzt geändert durch Verordnung {EU} Nr. 1051/2013 des Europäischen Parlaments und des Rates vom 22. Oktober 2013 zur Änderung der Verordnung {EG} Nr. 562/2006 zwecks Festlegung einer gemeinsamen Regelung für die vorübergehende Wiedereinführung von Kontrollen an den Binnengrenzen unter aussergewöhnlichen Umständen, ABl. L 295 vom 6.11.2013]; Art. 14 Abs. 1 Bst. a-c und Art. 21 Abs. 1 Visakodex).</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3.5</w:t>
      </w:r>
    </w:p>
    <w:p>
      <w:r>
        <w:t>Die Gesuchstellenden unterliegen als syrische Staatsangehörige gemäss Art. 1 Abs. 1 VO Nr. 539/2001 in Verbindung mit Anhang I einer Visumspflicht für den Schengen-Raum. Auf Beschwerdeebene wird die Erwägung der Vorinstanz, es sei davon auszugehen, dass die Gesuchstellerinnen und Gesuchsteller dauerhaft in der Schweiz bleiben wollten, nicht mehr in Frage gestellt. Aus der Beschwerde geht im Gegenteil explizit hervor, dass die Familie des Beschwerdeführers "nicht mehr nach Syrien zurückgehen" könne. Die Vorinstanz ist deshalb zu Recht davon ausgegangen, dass die Gesuchstellerinnen und Gesuchsteller nicht beabsichtigen, nach Ablauf des Visums fristgerecht aus dem Schengen-Raum auszureisen, sondern vielmehr in der Schweiz ein Asylgesuch stellen wollen. Die Erteilung eines Visums mit Gültigkeit für den gesamten Schengen-Raum fällt daher nicht in Betracht.</w:t>
      </w:r>
    </w:p>
    <w:p>
      <w:r>
        <w:rPr>
          <w:b/>
        </w:rPr>
        <w:t>E. 4.1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Art. 12 Abs. 4 VEV [beide Bestimmungen in Kraft getreten am 1. Oktober 2012]). Sobald sich der Inhaber eines Visums aus humanitären Gründen in der Schweiz befindet, muss er ein Asylgesuch einreichen. Falls er das unterlässt, hat er die Schweiz nach drei Monaten zu verlassen.</w:t>
      </w:r>
    </w:p>
    <w:p>
      <w:r>
        <w:rPr>
          <w:b/>
        </w:rPr>
        <w:t>E. 4.2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Botschaft des Bundesrates vom 26. Mai 2010 zur Änderung des Asylgesetzes, BBl 2010 4455, insbesondere 4467 f., 4471 f. und 4490 f.; Weisung des BFM vom 28. September 2012 betreffend Visumsantrag aus humanitären Gründen [zu finden auf der Internetseite des SEM]; Urteil des Bundesverwaltungsgerichts D-4783/2011 vom 29. Mai 2013 E. 3.2).</w:t>
      </w:r>
    </w:p>
    <w:p>
      <w:r>
        <w:rPr>
          <w:b/>
        </w:rPr>
        <w:t>E. 4.3</w:t>
      </w:r>
    </w:p>
    <w:p>
      <w:r>
        <w:t>Das Bundesverwaltungsgericht kommt nach Prüfung der Akten wie die Vorinstanz zum Schluss, dass die Voraussetzungen für die Erteilung eines humanitären Visums nicht erfüllt sind. Das SEM ging zu Recht davon aus, dass die Gesuchstellerinnen und Gesuchsteller in der Türkei Schutz vor Verfolgung syrischer bzw. kurdischer Behörden gefunden haben. Insofern vermögen die Vorbringen des Beschwerdeführers zur Situation in Syrien und insbesondere zur militärischen Rekrutierung bzw. Einberufung und zur Bestrafung der Wehrdienstverweigerung (Beschwerde, S. 1-4) in Bezug auf die Erteilung von humanitären Visa von vornherein nichts zu ändern. Soweit der Beschwerdeführer im Übrigen auf die schwierigen Lebensbedingungen der Gesuchstellerinnen und Gesuchsteller in der Türkei Bezug nimmt, hat das Bundesverwaltungsgericht an anderer Stelle festgestellt, es sei zwar nicht in Abrede zu stellen, dass sich die Lebensumstände in der Türkei für syrische Bürgerkriegsflüchtlinge als schwierig darstellen könnten, was namentlich für Personen gelte, die auf medizinische Hilfe angewiesen seien (vgl. zuletzt Urteil des BVGer D-3931/2015 vom 9. März 2016, E. 9.2, m.w.H.). Dieser Aspekt alleine sei jedoch nicht ausschlaggebend; vorauszusetzen sei vielmehr, dass die Gesuchstellenden in der Türkei unmittelbar, ernsthaft und konkret an Leib und Leben gefährdet wären, respektive sich in einer besonderen Notlage befinden würden, welche ein behördliches Eingreifen zwingend erforderlich erscheinen liesse (vgl. Urteile des BVGer D-3359/2015 vom 13. November 2015 E. 5.3.3, D-5438/2015 vom 3. November 2015 E. 4.5.2, D-5224/2014 vom 16. Februar 2015 E. 5.5 f.). Im vorliegenden Fall sind keine substantiierten und stichhaltigen Gründe ersichtlich, welche auf einen solchen Sachverhalt hindeuten würden. Eine konkrete Gefahr einer zwangsweisen Rückführung von der Türkei nach Syrien besteht für syrische Flüchtlinge nicht. In der Beschwerde wird zwar vom Beschwerdeführer vorgebracht, die Kosten für den Lebensunterhalt, für das Wohnen und für die medizinischen Behandlungen seien sehr hoch, weshalb er langfristig nicht persönlich für die Gesuchstellerinnen und Gesuchsteller aufkommen könne. Dies vermag an den zutreffenden Ausführungen der Vorinstanz jedoch nichts zu ändern, zumal es den Gesuchstellerinnen und Gesuchstellern offen steht, sich in eines der offiziellen türkischen Flüchtlingslager zu begeben, wo ihnen auch nach Auffassung des Gerichts ein hinreichendes Versorgungsangebot zur Verfügung gestellt wird (vgl. Urteil des BVGer D-1733/2015 vom 28. Oktober 2015, E. 5.1). Gleichzeitig sind sie gehalten, eine allfällig unterlassene Anmeldung beim UNHCR und beim türkischen Roten Halbmond vorzunehmen, zumal nichts ersichtlich ist, das gegen eine Anmeldung bei diesen Hilfswerken sprechen würde (vgl. Urteil des BVGer D-2414/2015 vom 1. Juli 2015 E. 3.5.2). Um Wiederholungen zu vermeiden, kann im Übrigen auf die zutreffenden Ausführungen im angefochtenen Einspracheentscheid des SEM vom 9. April 2015 verwiesen werden (vgl. oben, E.c).</w:t>
      </w:r>
    </w:p>
    <w:p>
      <w:r>
        <w:rPr>
          <w:b/>
        </w:rPr>
        <w:t>E. 5</w:t>
      </w:r>
    </w:p>
    <w:p>
      <w:r>
        <w:t>Der Vollständigkeit halber bleibt anzufügen, dass die Weisung des BFM vom 4. September 2013 betreffend erleichterte Erteilung von Besucher-Visa für syrische Familienangehörige bereits am 29. November 2013 aufgehoben wurde und somit vorliegend keine Anwendung finden kann, zumal die Visagesuche erst am 7. November 2014 gestellt wurden.</w:t>
      </w:r>
    </w:p>
    <w:p>
      <w:r>
        <w:rPr>
          <w:b/>
        </w:rPr>
        <w:t>E. 6</w:t>
      </w:r>
    </w:p>
    <w:p>
      <w:r>
        <w:t>Aus den vorstehenden Erwägungen ergibt sich, dass die angefochtene Verfügung Bundesrecht nicht verletzt, den rechtserheblichen Sachverhalt richtig feststellt und angemessen ist (Art. 49 VwVG).</w:t>
      </w:r>
    </w:p>
    <w:p>
      <w:r>
        <w:rPr>
          <w:b/>
        </w:rPr>
        <w:t>E. 7</w:t>
      </w:r>
    </w:p>
    <w:p>
      <w:r>
        <w:t>Bei diesem Ausgang des Verfahrens sind die Verfahrenskosten von Fr. 800.- dem Beschwerdeführer aufzuerlegen (Art. 63 Abs. 1 VwVG).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