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D-3083/2015 vom 26. August 2015</w:t>
      </w:r>
    </w:p>
    <w:p>
      <w:r>
        <w:t>Bundesverwaltungsgericht, 2015-08-26, DE</w:t>
      </w:r>
    </w:p>
    <w:p>
      <w:r>
        <w:rPr>
          <w:b/>
        </w:rPr>
        <w:t xml:space="preserve">Quelle: </w:t>
      </w:r>
      <w:r>
        <w:t>https://mcp.opencaselaw.ch/entscheid/bvger_D-3083_2015</w:t>
      </w:r>
    </w:p>
    <w:p>
      <w:r>
        <w:t>FR: TAF D-3083/2015 du 26 août 2015</w:t>
      </w:r>
    </w:p>
    <w:p>
      <w:r>
        <w:t>IT: TAF D-3083/2015 del 26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Das SEM hat mit Verfügung vom 13. April 2015 den Vollzug der Wegweisung durch die Anordnung der vorläufigen Aufnahme der Beschwerdeführenden ersetzt. Gegenstand des vorliegenden Verfahrens bildet somit die Frage der Gewährung von Asyl, der Anerkennung der Flüchtlingseigenschaft sowie der Wegweisung an sich.</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Mit der Vorinstanz ist festzuhalten, dass die Vorbringen der Beschwerdeführenden weder den Anforderungen an die Flüchtlingseigenschaft gemäss Art. 3 AsylG noch denjenigen an die Glaubhaftigkeit gemäss Art. 7 AsylG zu genügen vermögen. Zur Vermeidung von Wiederholungen kann daher auf die zutreffenden, unter Angabe der jeweiligen Fundstellen gemachten Ausführungen des SEM in der angefochtenen Verfügung verwiesen werden. Ihnen ist nichts mehr hinzuzufügen.</w:t>
      </w:r>
    </w:p>
    <w:p>
      <w:r>
        <w:rPr>
          <w:b/>
        </w:rPr>
        <w:t>E. 6.2</w:t>
      </w:r>
    </w:p>
    <w:p>
      <w:r>
        <w:t>Die Vorbringen der Beschwerdeführenden in der Rechtsmitteleingabe sind nicht geeignet, eine Änderung der angefochtenen Verfügung zu bewirken. Der vorinstanzlichen Argumentation werden keine stichhaltigen Gründe entgegengesetzt, welche deren Feststellungen und Schlussfolgerungen entkräften oder gar beseitigen könnten. Eine Auseinandersetzung mit den ihnen vom SEM vorgehaltenen Unglaubhaftigkeitselementen findet nicht statt. Nähere Hinweise respektive neue, aufschlussreiche oder entscheidende Erkenntnisse, die Klärung in den als unglaubhaft erkannten Sachvortrag hineinbringen könnten, werden nicht vorgebracht. Die Ausführungen der Beschwerdeführenden erschöpfen sich grundsätzlich in der Wiedergabe des festgestellten Sachverhalts. Zu einer zugunsten der Beschwerdeführenden ausfallenden Beurteilung führen auch ihre Ausführungen im Zusammenhang mit einer (asyl-)relevanten Gefährdungssituation nicht. Wie das SEM in der angefochtenen Verfügung bereits zutreffend erwogen hat, werden von den Beschwerdeführenden keine konkret und gezielt gegen sie gerichteten Verfolgungsmassnahmen im Sinne von Art. 3 AsylG angeführt. So wird in der Rechtsmitteleingabe in diesem Zusammenhang unter anderem etwa ausgeführt, sie seien als Kurden immer wieder sowohl von Arabern als auch vom Regime diskriminiert worden oder in H._______, dem letzten Aufenthaltsort, sei ihr Dasein aufgrund der Unsicherheitslage und der Gesetzeslosigkeit sehr eingeschränkt gewesen (man habe sich zurückgezogen und habe sich nicht frei bewegen können) oder aufgrund der geschilderten Situation habe man sich als Opfer einer unbekannten Gruppe gefühlt. Insgesamt ist somit festzuhalten, dass die Beschwerdeführenden - trotz allen Verständnisses für die geltend gemachten und empfundenen Widerwärtigkeiten - mit diesen Ausführungen noch keine individuelle Betroffenheit im Sinne des Asylgesetzes darlegen konnten. Die diesbezüglichen Vorkommnisse sind Ausdruck der in Syrien herrschenden Kriegswirren.</w:t>
      </w:r>
    </w:p>
    <w:p>
      <w:r>
        <w:rPr>
          <w:b/>
        </w:rPr>
        <w:t>E. 6.3</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Beschwerdefüh­renden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Beschwerdeführenden wurden mit Verfügung des SEM vom 13. April 2015 wegen Unzumutbarkeit des Vollzugs der Wegweisung in der Schweiz vorläufig aufge­nommen. Bei dieser Sachlage erübrigen sich somit weitere Ausführungen zur Fra­ge der Durchführbarkeit des Vollzuges.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Entscheid in der Sache selbst ist das Gesuch um Verzicht auf die Erhebung eines Kostenvorschusses gegenstandslos geworden.</w:t>
      </w:r>
    </w:p>
    <w:p>
      <w:r>
        <w:rPr>
          <w:b/>
        </w:rPr>
        <w:t>E. 10.2</w:t>
      </w:r>
    </w:p>
    <w:p>
      <w:r>
        <w:t>Das Gesuch um Gewährung der unentgeltlichen Rechtspflege im Sinne von Art. 65 Abs. 1 VwVG ist abzuweisen. Wie in den Erwägungen dargelegt, erscheinen die Beschwerdebegehren - ungeachtet der ausgewiesenen Bedürftigkeit - als von vorneherein aussichts­los. Mithin fehlt es an den kumulativ zu erfüllenden Erfordernissen (bedürftig/nicht aussichtslos) zur Gewährung der unentgeltlichen Rechtspflege im Sinne der nämlichen gesetzlichen Bestimmung. Mangels Erfüllens der diesbezüglichen Voraussetzungen ist das Gesuch um amtliche Verbeiständung (Art. 110a Abs. 1 AsylG) ebenfalls abzuweisen.</w:t>
      </w:r>
    </w:p>
    <w:p>
      <w:r>
        <w:rPr>
          <w:b/>
        </w:rPr>
        <w:t>E. 10.3</w:t>
      </w:r>
    </w:p>
    <w:p>
      <w:r>
        <w:t>Die Kosten des Verfahrens sind demnach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