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D-3079/2015 vom 21. Mai 2015</w:t>
      </w:r>
    </w:p>
    <w:p>
      <w:r>
        <w:t>Bundesverwaltungsgericht, 2015-05-21, DE</w:t>
      </w:r>
    </w:p>
    <w:p>
      <w:r>
        <w:rPr>
          <w:b/>
        </w:rPr>
        <w:t xml:space="preserve">Quelle: </w:t>
      </w:r>
      <w:r>
        <w:t>https://mcp.opencaselaw.ch/entscheid/bvger_D-3079_2015</w:t>
      </w:r>
    </w:p>
    <w:p>
      <w:r>
        <w:t>FR: TAF D-3079/2015 du 21 mai 2015</w:t>
      </w:r>
    </w:p>
    <w:p>
      <w:r>
        <w:t>IT: TAF D-3079/2015 del 21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1.2.1</w:t>
      </w:r>
    </w:p>
    <w:p>
      <w:r>
        <w:t>Die Rechtsmitteleingabe der Beschwerdeführenden ist zwar in englischer Sprache abgefasst. Auf die Ansetzung einer Frist zur Beschwerdeverbesserung kann indessen vorliegend praxisgemäss verzichtet werden, zumal der Eingabe genügend klare, sinngemässe Rechtsbegehren und deren Begründung zu entnehmen sind und ohne Weiteres darüber befunden werden kann.</w:t>
      </w:r>
    </w:p>
    <w:p>
      <w:r>
        <w:rPr>
          <w:b/>
        </w:rPr>
        <w:t>E. 1.2.2</w:t>
      </w:r>
    </w:p>
    <w:p>
      <w:r>
        <w:t>Die Verfügung des SEM vom 20. März 2015 ist von der Botschaft am 1. April 2015 mit Rückschein an den Beschwerdeführer 1 verschickt worden. Zwar geht das Eröffnungsdatum aus dem Rückschein nicht hervor. Nachdem dieser aber gemäss Stempel am 8. Mai 2014 wieder beim SEM einging, kann von der Rechtzeitigkeit der Beschwerde ausgegangen werden.</w:t>
      </w:r>
    </w:p>
    <w:p>
      <w:r>
        <w:rPr>
          <w:b/>
        </w:rPr>
        <w:t>E. 1.2.3</w:t>
      </w:r>
    </w:p>
    <w:p>
      <w:r>
        <w:t>Nach dem Gesagten ist die Beschwerde fristgerecht und in der Form akzeptiert eingereicht. Die beiden Beschwerdeführenden sind durch die angefochtene Verfügung be­sonders berührt und haben ein schutzwürdiges Interesse an deren Aufhebung beziehungsweise Änderung. Sie sind daher zur Einreichung der Beschwerde legitimiert (Art. 105 und Art. 108 Abs. 1 AsylG sowie Art. 48 Abs. 1 und Art. 52 Abs. 1 VwVG). Auf die Beschwerde ist einzutreten.</w:t>
      </w:r>
    </w:p>
    <w:p>
      <w:r>
        <w:rPr>
          <w:b/>
        </w:rPr>
        <w:t>E. 1.2.4</w:t>
      </w:r>
    </w:p>
    <w:p>
      <w:r>
        <w:t>Vorliegend stellen sich insbesondere auch Fragen hinsichtlich der Vertretungsbefugnis des gesetzlichen Vertreters. Mithin ist zu klären, wer am Verfahren vor der Vorinstanz überhaupt teilgenommen hat, entsprechend durch die angefochtene Verfügung besonders berührt ist und somit ein schutzwürdiges Interesse an deren Aufhebung beziehungsweise Änderung haben kann. Diese Fragen werden in E. 5 erörtert.</w:t>
      </w:r>
    </w:p>
    <w:p>
      <w:r>
        <w:rPr>
          <w:b/>
        </w:rPr>
        <w:t>E. 2</w:t>
      </w:r>
    </w:p>
    <w:p>
      <w:r>
        <w:t>Die Kognition des Bundesverwaltungsgerichts und die zulässigen Rügen richten sich im Asylbereich nach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Gemäss Art. 29 VwVG und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4.2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w:t>
      </w:r>
    </w:p>
    <w:p>
      <w:r>
        <w:rPr>
          <w:b/>
        </w:rPr>
        <w:t>E. 5.1</w:t>
      </w:r>
    </w:p>
    <w:p>
      <w:r>
        <w:t>Das SEM stellte in der angefochtenen Verfügung bezüglich der mittlerweile volljährig gewordenen Kinder fest, es sei darauf hinzuweisen, dass das vorliegende Asylgesuch lediglich eine Einschätzung der Gefährdungssituation des Beschwerdeführers 1 erlaube, da seine zwei heute volljährigen Kinder nie persönlich in Erscheinung getreten seien und nie den Willen bekundet hätten, um Asyl zu ersuchen. Weiter wird sodann nicht mehr auf deren Situation eingegangen. Diese Argumentationsweise greift jedoch zu kurz. Die beiden heute volljährigen Kinder waren bei Gesuchseinreichung noch minderjährig, weshalb der Beschwerdeführer 1 als gesetzlicher Vertreter auftreten konnte. Da es sich jedoch bei der Einreichung eines Asylgesuchs gemäss langjähriger Praxis um ein sogenanntes "relativ höchstpersönliches Recht" handelt, welches als solches lediglich die Urteilsfähigkeit, nicht aber die Mündigkeit einer für sich selbst handelnden Person voraussetzt und eine urteilsfähige unmündige Person grundsätzlich auch verpflichtet, dieses selbständig, also ohne Hilfe eines allfälligen gesetzlichen Vertreters oder Vertreterin, geltend zu machen, wird prinzipiell ein persönlicher Antrag vorausgesetzt. Fehlt ein solcher persönlicher Antrag, kann dieser beispielsweise mittels einer mündlichen Befragung oder durch Einreichung einer persönlich verfassten oder zumindest unterzeichneten Stellungnahme nachgeholt werden (BVGE 2011/39 E. 4.3.2). Da sich das vorliegende Asylgesuch offensichtlich auf die ganze Familie bezog, wäre die Vorinstanz verpflichtet gewesen, einen solchen persönlichen Antrag von den im Gesuch miteingeschlossenen, urteilsfähigen Kindern nachzuholen. Dass die beiden Kinder mittlerweile volljährig geworden sind, ändert diesbezüglich nichts. So hätte in diesem Fall gegebenenfalls ein eigenes, neues Verfahren respektive Dossier eröffnet werden müssen. Durch das vorliegende Vorgehen hat das SEM den Anspruch auf rechtliches Gehör der Beschwerdeführenden respektive der volljährigen Kinder des Beschwerdeführers 1 verletzt.</w:t>
      </w:r>
    </w:p>
    <w:p>
      <w:r>
        <w:rPr>
          <w:b/>
        </w:rPr>
        <w:t>E. 5.2</w:t>
      </w:r>
    </w:p>
    <w:p>
      <w:r>
        <w:t>Ferner wurde vorliegend das gesamte Verfahren beinahe ausschliesslich auf den Beschwerdeführer 1 ausgerichtet. So wurden alle Briefe der Botschaft an ihn adressiert und auch nie von mehreren Gesuchstellenden gesprochen. Darüber hinaus wurde im Jahr 2014 auch nur der Beschwerdeführer 1 befragt, obschon sich dessen Kinder - wobei zu diesem Zeitpunkt noch zwei minderjährig waren - in einem vernehmungsfähigen Alter befanden und zudem durchaus Asylgesuchsgründe, beispielsweise hinsichtlich des 15-tägigen LTTE-Trainings, hätten vorbringen können. Es fällt denn auch auf, dass der Beschwerdeführer 1 in erster Linie Behelligungen gegenüber oder aufgrund der Kinder geltend machte und sich auch alle seine Eingaben auf die Situation der gesamten Familie bezogen. Bezeichnenderweise wurden bereits im ursprünglichen Asylgesuch im März 2010 alle Familienmitglieder mit Name und Alter aufgelistet und zudem alle Geburtsurkunden der Kinder eingereicht. Somit wird deutlich, dass der Beschwerdeführer 1 die gemeinsame Einreise in die Schweiz beantragte, auch wenn lediglich er die Eingabe als gesetzlicher Vertreter unterschrieb. Daher ist festzustellen, dass durch diese Verfahrensführung, insbesondere der fehlenden Anhörung und somit Möglichkeit zur Stellungnahme der Kinder, deren Anspruch auf rechtliches Gehör verletzt wurde.</w:t>
      </w:r>
    </w:p>
    <w:p>
      <w:r>
        <w:rPr>
          <w:b/>
        </w:rPr>
        <w:t>E. 5.3</w:t>
      </w:r>
    </w:p>
    <w:p>
      <w:r>
        <w:t>Schliesslich wurde zwar der Beschwerdeführer 2 in der angefochtenen Verfügung als Partei formell erwähnt, jedoch wurde in der Begründung kaum auf dessen spezifische Situation eingegangen, was wohl auch mit dem nicht erhobenen Sachverhalt bezüglich seiner Person zu erklären ist. Ob diesbezüglich eine Verletzung der Begründungspflicht festzustellen oder ob diese zwar als knapp aber noch genügend zu bezeichnen wäre, kann im Hinblick auf die bereits festgestellten Gehörsverletzungen offen gelassen werden.</w:t>
      </w:r>
    </w:p>
    <w:p>
      <w:r>
        <w:rPr>
          <w:b/>
        </w:rPr>
        <w:t>E. 6</w:t>
      </w:r>
    </w:p>
    <w:p>
      <w:r>
        <w:t>Der Anspruch auf rechtliches Gehör ist formeller Natur, eine Verletzung desselben führt deshalb grundsätzlich - das heisst ungeachtet der materiellen Auswirkungen - zur Aufhebung des daraufhin ergangenen Entscheides (vgl. BVGE 2008/47 E. 3.3.4, 2008/14 E. 4.1, 2007/30 E. 8.2, 2007/27 E. 10.1). Die Heilung von Gehörsverletzungen ist zwar in Ausnahmefällen auf Beschwerdeebene unter gewissen Vorausserzungen möglich. Da es sich vorliegend jedoch offensichtlich um mehrere grobe Verstösse gegen die Verfahrensvorschriften handelt und zudem eine Wiederholung dieser Verfahrensschritte auf Beschwerdeebene nicht möglich erscheint, kann eine Heilung der Gehörsverletzungen vorliegend nicht in Betracht gezogen werden.</w:t>
      </w:r>
    </w:p>
    <w:p>
      <w:r>
        <w:rPr>
          <w:b/>
        </w:rPr>
        <w:t>E. 7</w:t>
      </w:r>
    </w:p>
    <w:p>
      <w:r>
        <w:t>Nach dem Gesagten ist die Verfügung des SEM vom 20. März 2015 - in Gutheissung der Beschwerde - aufzuheben und die Sache zur Wiederaufnahme und ordnungsgemässen Fortsetzung des erstinstanzlichen Verfahrens an das SEM zurückzuweisen.</w:t>
      </w:r>
    </w:p>
    <w:p>
      <w:r>
        <w:rPr>
          <w:b/>
        </w:rPr>
        <w:t>E. 8.1</w:t>
      </w:r>
    </w:p>
    <w:p>
      <w:r>
        <w:t>Bei diesem Ausgang des Verfahrens sind keine Kosten aufzuerlegen (Art. 63 Abs. 1 - 2 VwVG).</w:t>
      </w:r>
    </w:p>
    <w:p>
      <w:r>
        <w:rPr>
          <w:b/>
        </w:rPr>
        <w:t>E. 8.2</w:t>
      </w:r>
    </w:p>
    <w:p>
      <w:r>
        <w:t>Da die Beschwerdeführenden nicht vertreten sind und ihnen daher keine verhältnismässig hohen Kosten erwachsen sind, wird ihnen keine Parteientschädigung zugesprochen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