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D-3075/2014 vom 2. Juli 2014</w:t>
      </w:r>
    </w:p>
    <w:p>
      <w:r>
        <w:t>Bundesverwaltungsgericht, 2014-07-02, DE</w:t>
      </w:r>
    </w:p>
    <w:p>
      <w:r>
        <w:rPr>
          <w:b/>
        </w:rPr>
        <w:t xml:space="preserve">Quelle: </w:t>
      </w:r>
      <w:r>
        <w:t>https://mcp.opencaselaw.ch/entscheid/bvger_D-3075_2014</w:t>
      </w:r>
    </w:p>
    <w:p>
      <w:r>
        <w:t>FR: TAF D-3075/2014 du 2 juillet 2014</w:t>
      </w:r>
    </w:p>
    <w:p>
      <w:r>
        <w:t>IT: TAF D-3075/2014 del 2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Der Gesetzgeber hat mit den dringlichen Änderungen des Asylgesetzes vom 28. September 2012 auch Art. 3 Abs. 3 AsylG neu eingeführt. Demnach sind Personen, die wegen Wehrdienstverweigerung oder Desertion ernsthaften Nachteilen ausgesetzt sind oder begründete Furcht haben, solchen Nachteilen ausgesetzt zu werden, keine Flüchtlinge. Vorbehalten bleibt das Abkommen vom 28. Juli 1951 über die Rechtsstellung der Flüchtlinge (FK, SR 0.142.30). Diese neue Gesetzesbestimmung findet in jenen Fällen Anwendung, die - wie in casu - seit dem 29. Septem­ber 2012 vom BFM entschieden wurden beziehungsweise werden (vgl. BVGE 2013/20 E. 3.2).</w:t>
      </w:r>
    </w:p>
    <w:p>
      <w:r>
        <w:rPr>
          <w:b/>
        </w:rPr>
        <w:t>E. 1.4</w:t>
      </w:r>
    </w:p>
    <w:p>
      <w:r>
        <w:t>Die Beschwerde ist nicht in einer Amtssprache des Bundes abgefasst. Auf die Ansetzung einer Frist zur Beschwerdeverbesserung im Sinne von Art. 52 VwVG kann jedoch aus prozessökonomischen Gründen praxisgemäss verzichtet werden, da die englischsprachige Beschwerdeeingabe verständlich ist, so dass ohne Weiteres darüber befunden werden kann.</w:t>
      </w:r>
    </w:p>
    <w:p>
      <w:r>
        <w:rPr>
          <w:b/>
        </w:rPr>
        <w:t>E. 1.5</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Auf die frist- und - mit Ausnahme des genannten, jedoch nicht als wesentlich erachteten Mangels hinsichtlich der Sprache der Beschwerdeeingabe (vgl. E. 1.4) - formgerecht eingereichte Beschwerde ist somit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Ein Asylgesuch kann gemäss alt Art. 19 AsylG im Ausland bei einer schweizerischen Vertretung gestellt werden, die es an das Bundesamt überweist (alt Art. 20 Abs. 1 AsylG). Hinsichtlich des Verfahrens sieht Art. 10 Abs. 1 der Asylverordnung 1 vom 11. August 1999 über Verfahrensfragen (AsylV 1, SR 142.311) vor, dass die schweizerische Vertretung mit der asylsuchenden Person in der Regel eine Befragung durchführt. Ist dies nicht möglich, sind die Asylgründe schriftlich festzuhalten (Art. 10 Abs. 2 AsylV 1). Das BFM hat den Verzicht auf eine Befragung im Ausland in der Verfügung zu begründen (vgl. BVGE 2007/30 E. 5.8 [S. 368]).</w:t>
      </w:r>
    </w:p>
    <w:p>
      <w:r>
        <w:rPr>
          <w:b/>
        </w:rPr>
        <w:t>E. 3.2</w:t>
      </w:r>
    </w:p>
    <w:p>
      <w:r>
        <w:t>Vorliegend begründete das BFM den Verzicht auf eine persönliche Befragung der Beschwerdeführenden bei der schweizerischen Vertretung in Khartum mit dem begrenzten Personalbestand der Botschaft und fehlenden Voraussetzungen im sicherheitstechnischen und räumlichen Bereich. Die Beschwerdeführenden erhielten indes die Möglichkeit, ihre Asylgründe ausführlich schriftlich darzulegen, so dass den verfahrensrechtlichen Anforderungen von Art. 10 AsylV 1 Genüge getan wurde.</w:t>
      </w:r>
    </w:p>
    <w:p>
      <w:r>
        <w:rPr>
          <w:b/>
        </w:rPr>
        <w:t>E. 4.1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alt Art. 52 Abs. 2 AsylG). Gemäss alt Art. 20 Abs. 2 AsylG bewilligt das Bundesamt einer asylsuchenden Person die Einreise in die Schweiz zur Asylerteilung, wenn diese die entsprechenden Voraussetzungen erfüllt, oder zur Abklärung des Sachverhalts,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mit Blick auf den Asylausschlussgrund von alt 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In jedem Fall sind die Kriterien zu prüfen, welche die Zufluchtnahme in diesem Drittstaat zumutbar erscheinen lassen, und diese mit einer allfälligen Beziehungsnähe zur Schweiz abzuwägen. Eine Beziehungsnähe zur Schweiz aufgrund hier ansässiger naher Familienangehöriger begründet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(vgl. BVGE 2011/10 E. 5.1).</w:t>
      </w:r>
    </w:p>
    <w:p>
      <w:r>
        <w:rPr>
          <w:b/>
        </w:rPr>
        <w:t>E. 5.1</w:t>
      </w:r>
    </w:p>
    <w:p>
      <w:r>
        <w:t>Vorliegend lassen die geltend gemachten Vorbringen, die nicht von vornherein unglaubhaft erscheinen, nicht ausschliessen, dass der Beschwerdeführer in Eritrea aufgrund der Flucht aus dem Nationaldienst ernstzunehmende beziehungsweise in flüchtlingsrechtlicher Hinsicht relevante Schwierigkeiten mit den heimatlichen Behörden zu befürchten hatte. An dieser Feststellung vermag auch die neue gesetzliche Bestimmung von Art. 3 Abs. 3, 1. Satz AsylG nichts zu ändern, statuiert doch der zweite Satz von Art. 3 Abs. 3 AsylG gleichzeitig den Vorbehalt der Flüchtlingskonvention. Ob die Beschwerdeführenden bei einer allfälligen Rückkehr nach Eritrea einer flüchtlingsrechtlich relevanten Verfolgung ausgesetzt sein könnten, kann dennoch offengelassen werden, da sie den subsidiären Schutz der Schweiz gemäss alt Art. 52 Abs. 2 AsylG - wie nachfolgend aufzuzeigen sein wird - nicht benötigen. Wie vom BFM zutreffend festgestellt wurde, ist ihnen der weitere Verbleib im Sudan zuzumuten.</w:t>
      </w:r>
    </w:p>
    <w:p>
      <w:r>
        <w:rPr>
          <w:b/>
        </w:rPr>
        <w:t>E. 5.2</w:t>
      </w:r>
    </w:p>
    <w:p>
      <w:r>
        <w:t>Die Beschwerdeführenden halten sich gemäss eigenen Angaben bereits seit vierzehn Jahren nicht mehr in Eritrea auf, sondern haben Zuflucht in einem Drittstaat (Sudan) gefunden. Sie haben sich im Sudan beim UNHCR registrieren lassen und den Flüchtlingsstatus erhalten. Die Lebensbedingungen für eritreische Flüchtlinge im Sudan sind zugestandenermassen nicht einfach. Die Beschwerdeführenden teilen diesbezüglich das Leid mit einer grossen Zahl ihrer Landsleute. Die Grundversorgung ist in den Flüchtlingslagern aber gewährleistet und der dortige Aufenthalt ist für die vom UNHCR registrierten eritreischen Flüchtlinge grundsätzlich zumutbar. Die Beschwerdeführenden haben das Flüchtlingslager indes bereits Ende Juli 2000 aus eigenem Antrieb verlassen und leben seither in Khartum. Diesbezüglich ist festzustellen, dass sich die grosse Diaspora eritreischer Flüchtlinge in der Grossstadt Khartum relativ gefahrenlos aufhalten kann. Die Beschwerdeführenden vermochten in den nunmehr rund vierzehn Jahren, in denen sie bereits in Khartum leben, eine weitgehende Selbständigkeit zu entfalten, ist der Beschwerdeführer doch gemäss eigenen Angaben in der Lage, einer Arbeit nachzugehen. Hinsichtlich der sinngemäss geäusserten Angst vor einer Rückschaffung nach Eritrea ist festzustellen, dass das Risiko einer Deportation für im Sudan vom UNHCR registrierte eritreische Flüchtlinge gering ist. Es kann zwar nicht ausgeschlossen werden, dass vereinzelte Deportationen erfolgen, indessen finden solche nicht flächendeckend statt. Eine generelle Gefahr einer Deportation besteht für die in grosser Zahl im Sudan lebenden eritreischen Flüchtlinge nicht und es liegen keine konkreten Hinweise dafür vor, dass die vom UNHCR registrierten Beschwerdeführenden akut von einer Rückschaffung bedroht wären. Sollten sie eine solche ernsthaft befürchten, wäre es ihnen zuzumuten, sich wieder an das UNHCR zu wenden und so die Gefahr einer Deportation zu minimieren. Auch der Verweis auf einen über viereinhalb Jahre zurückliegenden Vorfall, bei dem sudanesische Polizisten den Beschwerdeführer am 11. November 2009 festgehalten und bestohlen hätten, und die Angst vor Benachteiligungen aufgrund der Ethnie des Beschwerdeführers vermögen keine akute und konkrete Gefährdungssituation der Beschwerdeführenden im Sudan zu begründen. Die Ausführungen in der Beschwerdeeingabe vermögen an dieser Einschätzung nichts zu ändern. Auch wenn die Lebensumstände der Beschwerdeführenden im Sudan unbestrittenermassen schwierig sind, sind sie nicht dergestalt, dass sie einen weiteren Verbleib gänzlich unzumutbar machen würden. Zur Schweiz weisen die Beschwerdeführenden keinerlei Bezugspunkte auf. Die Aktenlage zeigt somit, dass die Beschwerdeführenden Zuflucht im Sudan gefunden haben und den subsidiären Schutz der Schweiz, zu der sie keine Beziehungsnähe aufweisen, gemäss alt Art. 52 Abs. 2 AsylG nicht benötigen. Der weitere Verbleib im Sudan ist ihnen zuzumuten.</w:t>
      </w:r>
    </w:p>
    <w:p>
      <w:r>
        <w:rPr>
          <w:b/>
        </w:rPr>
        <w:t>E. 5.3</w:t>
      </w:r>
    </w:p>
    <w:p>
      <w:r>
        <w:t>Das BFM hat damit die Einreise der Beschwerdeführenden in die Schweiz zutreffend verweigert und die Asylgesuche zu Recht abgelehnt.</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Bei diesem Ausgang des Verfahrens wären dessen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indessen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