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D-3070/2010 vom 19. Mai 2010</w:t>
      </w:r>
    </w:p>
    <w:p>
      <w:r>
        <w:t>Bundesverwaltungsgericht, 2010-05-19, DE</w:t>
      </w:r>
    </w:p>
    <w:p>
      <w:r>
        <w:rPr>
          <w:b/>
        </w:rPr>
        <w:t xml:space="preserve">Quelle: </w:t>
      </w:r>
      <w:r>
        <w:t>https://mcp.opencaselaw.ch/entscheid/bvger_D-3070_2010</w:t>
      </w:r>
    </w:p>
    <w:p>
      <w:r>
        <w:t>FR: TAF D-3070/2010 du 19 mai 2010</w:t>
      </w:r>
    </w:p>
    <w:p>
      <w:r>
        <w:t>IT: TAF D-3070/2010 del 19 maggio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2.1</w:t>
      </w:r>
    </w:p>
    <w:p>
      <w:r>
        <w:t>Der Zeitpunkt der Eröffnung der angefochtenen Verfügung steht mangels Vorliegens einer Empfangsbestätigung nicht fest. Aufgrund der zeitlichen Abfolge (Erlass des vorinstanzlichen Entscheids am 29. März 2010; Beschwerdeeingang am 16. April 2010) ist die Beschwerde aber offensichtlich rechtzeitig eingereicht worden. Allerdings ist festzuhalten, dass die Beschwerde inhaltlich und auch betreffend Formulierungen mit einem bereits am 18. März 2010 eingereichten Schriftstück übereinstimmt (vgl. Beweismittel 3 im Beweismittelverzeichnis der Vorinstanz). Es stellt sich mithin die Frage, ob die an die Botschaft _______ adressierte Eingabe vom 16. April 2010 überhaupt als Beschwerde gegen den vorinstanzlichen Entscheid oder allenfalls noch vor dessen Eröffnung verfasst wurde. Da aber bis zum heutigen Datum dem Bundesverwaltungsgericht keine weiteren Eingaben mehr übermittelt wurden, ist im Folgenden zugunsten der Beschwerdeführenden von einer tatsächlich erfolgten Beschwerdeerhebung auszugehen.</w:t>
      </w:r>
    </w:p>
    <w:p>
      <w:r>
        <w:rPr>
          <w:b/>
        </w:rPr>
        <w:t>E. 2.2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form- und fristgerecht eingereichte Beschwerde ist somit einzutreten (Art. 108 AsylG sowie Art. 105 AsylG i.V.m. 37 VGG und Art. 48 Abs. 1 und Art. 52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Amtssprachen des Bundes sind das Deutsche, Französische und Italienische (vgl. Art. 70 Abs. 1 der Bundesverfassung der Schweizerischen Eidgenossenschaft vom 18. April 1999 [BV, SR 101]). Aus prozessökonomischen Gründen ist vorliegend indes auf die Nachforderung einer Übersetzung der englischsprachigen Eingabe zu verzichten.</w:t>
      </w:r>
    </w:p>
    <w:p>
      <w:r>
        <w:rPr>
          <w:b/>
        </w:rPr>
        <w:t>E. 5</w:t>
      </w:r>
    </w:p>
    <w:p>
      <w:r>
        <w:t>Gestützt auf Art. 111a Abs. 1 AsylG wurde vorliegend auf die Durchführung des Schriftenwechsels verzichtet.</w:t>
      </w:r>
    </w:p>
    <w:p>
      <w:r>
        <w:rPr>
          <w:b/>
        </w:rPr>
        <w:t>E. 6.1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6.2</w:t>
      </w:r>
    </w:p>
    <w:p>
      <w:r>
        <w:t>Das Bundesamt kann ein im Ausland gestelltes Asylgesuch ablehnen, wenn die asylsuchenden Personen keine Verfolgung glaubhaft machen können oder ihnen die Aufnahme in einem Drittstaat zugemutet werden kann. Glaubhaft machen heisst,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6.3</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6.4</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S. 131 ff.; die dort akzentuierte Praxis hat nach bloss redaktionellen Änderungen bei der letzten Totalrevision des Asylgesetzes nach wie vor Gültigkeit).</w:t>
      </w:r>
    </w:p>
    <w:p>
      <w:r>
        <w:rPr>
          <w:b/>
        </w:rPr>
        <w:t>E. 7.1</w:t>
      </w:r>
    </w:p>
    <w:p>
      <w:r>
        <w:t>Aufgrund der angegeben Herkunft der Beschwerdeführerin dürfte ein Teil der Vorbringen durchaus der Realität entsprechen. Dass sie wegen der kriegerischen Auseinandersetzungen sowohl gewissen Pressionen der Sicherheitskräfte, der LTTE oder auch unbekannter Dritter ausgesetzt gewesen ist, kann jedenfalls nicht als durchwegs unglaubhaft bezeichnet werden. Auch nach Beendigung des Krieges und der geltend gemachten polizeilichen Registrierung ist denkbar, dass sie das eine oder andere Mal verhört wurde und eventuell sogar Unbekannte - aus welchen Gründen auch immer - Drohungen ausgestossen haben. Hingegen ist mit dem BFM davon auszugehen, dass sie aktuell nicht unmittelbar an Leib und Leben gefährdet erscheint. Den Akten ist zu entnehmen, dass sie bisher mutmasslich keine ernsthaften Nachteile im Sinne des Asylgesetzes erlitten hat. Dass ihr solche in Zukunft mit beachtlicher Wahrscheinlichkeit widerfahren könnten, vermochte sie nicht glaubhaft zu machen. Die Vorinstanz weist zurecht auf erhebliche Zweifel, wonach ihr Gatte tatsächlich ein Kadermitglied der LTTE gewesen sein soll, hin. Namentlich die Flucht der Beschwerdeführerin aus dem Camp via das Spital von _______ und die spätere Rückkehr dorthin vermögen nicht zu überzeugen und entsprechen nicht dem zu erwartenden Verhalten einer engen Angehörigen eines angeblichen Kadermitglieds. Fragen kann man sich auch, weshalb die LTTE die Heirat nicht verhinderten, obwohl die Beschwerdeführerin eigenen Angaben zufolge nichts mit der Bewegung zu tun hatte. Entsprechend dürften die Behörden an ihrer Person entgegen ihren Darlegungen nicht besonders interessiert sein. Ihre Aussagen, wonach Vertreter des CID in der geltend gemachten Häufigkeit zuhause vorgesprochen hätten, wirkt mithin schon in diesem Lichte besehen unglaubhaft. Dies umso mehr, als sie diese angeblichen häufigen Behelligungen über einen längeren Zeitpunkt doch eher vage schilderte (vgl. S. 8 des Protokolls). Mit der Beschwerde hat sie nun zwar zwei Listen von Telefonnummern respektive Nummern von Fahrzeug-Kontrollschildern von Personen, die sie angeblich verfolgen, eingereicht. Die in der Eingabe so geltend gemachte "Folter" wirkt aber auch durch die blosse Auflistung der erwähnten Nummern nicht glaubhaft, zumal in der Beschwerde eine Auseinandersetzung mit der vorinstanzlichen Argumentation unterbleibt. Anzufügen ist, dass die vorinstanzliche Würdigung der eingereichten Beweismittel zwar knapp, aber rechtsgenüglich und zutreffend ausgefallen ist. Schliesslich ist festzuhalten, dass die Beschwerdeführerin offenbar unbehelligt nach _______ zur Befragung reisen konnte und eines ihrer Kinder vor Ort regelmässig von ihr oder ihrer Mutter in den Kindergarten begleitet wird (S. 9 f. des Protokolls). Auch in Berücksichtigung dieser Faktoren entsteht nicht das Bild einer Person, welche wegen einer akuten Gefährdung auf den Schutz der Schweiz angewiesen ist.</w:t>
      </w:r>
    </w:p>
    <w:p>
      <w:r>
        <w:rPr>
          <w:b/>
        </w:rPr>
        <w:t>E. 7.2</w:t>
      </w:r>
    </w:p>
    <w:p>
      <w:r>
        <w:t>Das Bundesverwaltungsgericht hat sodann im Grundsatzurteil BVGE 2008/2 eine Lageanalyse betreffend Sri Lanka vorgenommen und gelangte dabei zum Schluss, dass sich die allgemeine Sicherheitslage seit Januar 2006 insgesamt, insbesondere aber in Colombo kontinuierlich verschlechtert habe. Seit Ergehen dieses Urteils am 14. Februar 2008 hatte sich der bewaffnete Konflikt zwischen der Regierung und der LTTE weiter zugespitzt. Nach der Rückeroberung des letzten von der LTTE kontrollierten Gebietes im Raum Mullaitivu wurde am 18. Mai 2009 seitens der Regierung der endgültige Sieg über die LTTE verkündet und der Bürgerkrieg offiziell für beendet erklärt. Nach dieser Niederlage der LTTE haben die srilankischen Behörden - namentlich im Grossraum Colombo - die Sicherheitsmassnahmen nicht gelockert. Daher laufen gerade junge Männer Gefahr, überall und jederzeit von srilankischem Sicherheitspersonal einer minuziösen Personenkontrolle unterzogen und öfters auch für eingehendere Abklärungen auf den Posten mitgenommen oder in ein Armeecamp beordert zu werden. Die sogenannten "Anti-Terrormassnahmen" werden im Raum Colombo - unbesehen der Rügen des Supreme Courts - als repressives Instrument gegen befürchtete Infiltrationen tamilischer Separatisten angewandt. Diesen Massnahmen, denen ein Grossteil der tamilischen Bevölkerung im ganzen Land und ebenso auch in Colombo ausgesetzt sind, kommt indes aufgrund mangelnder Intensität kein Verfolgungscharakter im Sinne von Art. 3 AsylG zu. Entsprechend vermögen die weiteren Ausführungen der Beschwerdeführenden in den Eingaben zur generellen Gefährdungssituation nicht zur Anerkennung der Flüchtlingseigenschaft zu führen. Sie konnten mithin nicht substanziiert dartun, inwiefern das BFM zu Unrecht geschlossen habe, sie seien nicht schutzbedürftig im Sinne des AsylG.</w:t>
      </w:r>
    </w:p>
    <w:p>
      <w:r>
        <w:rPr>
          <w:b/>
        </w:rPr>
        <w:t>E. 8</w:t>
      </w:r>
    </w:p>
    <w:p>
      <w:r>
        <w:t>Zusammenfassend ist festzustellen, dass die Beschwerdeführenden keine Verfolgung im Sinne von Art. 3 AsylG glaubhaft machen konnten und nicht als Flüchtling anerkannt werden können. Aufgrund der vorstehenden Erwägungen erübrigt es sich, auf die weiteren Ausführungen einzugehen, da sie am festgestellten Ergebnis nichts zu ändern vermögen. Das BFM hat demnach zu Recht die Einreise in die Schweiz nicht bewilligt und das Asylgesuch abgelehnt.</w:t>
      </w:r>
    </w:p>
    <w:p>
      <w:r>
        <w:rPr>
          <w:b/>
        </w:rPr>
        <w:t>E. 9</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10</w:t>
      </w:r>
    </w:p>
    <w:p>
      <w:r>
        <w:t>Bei diesem Ausgang des Verfahrens wären die Kosten grundsätzlich den Beschwerdeführenden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