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D-3067/2014 vom 18. Juli 2014</w:t>
      </w:r>
    </w:p>
    <w:p>
      <w:r>
        <w:t>Bundesverwaltungsgericht, 2014-07-18, DE</w:t>
      </w:r>
    </w:p>
    <w:p>
      <w:r>
        <w:rPr>
          <w:b/>
        </w:rPr>
        <w:t xml:space="preserve">Quelle: </w:t>
      </w:r>
      <w:r>
        <w:t>https://mcp.opencaselaw.ch/entscheid/bvger_D-3067_2014</w:t>
      </w:r>
    </w:p>
    <w:p>
      <w:r>
        <w:t>FR: TAF D-3067/2014 du 18 juillet 2014</w:t>
      </w:r>
    </w:p>
    <w:p>
      <w:r>
        <w:t>IT: TAF D-3067/2014 del 18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der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BFM kann ein im Ausland gestelltes Asylgesuch ablehnen, wenn die asylsuchende Person keine Verfolgung glaubhaft machen kann oder ihr die Aufnahme in einem Drittstaat zugemutet werden kann (Art. 3 und Art. 7 AsylG sowie aArt. 52 Abs. 2 AsylG). Gemäss aArt. 20 Abs. 2 AsylG bewilligt das BFM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Der Beschwerdeführer wurde nicht zu seinem Asylgesuch befragt. Seine Vorbringen wurden jedoch bereits im Asylgesuch vom 28. März 2011 schriftlich dargelegt (vgl. Sachverhalt Bst. A). Mit Schreiben des BFM vom 12. November 2012 wurde er unter Beilage eines explizit aufgelisteten Fragekatalogs gebeten, für die vollständige Erstellung des rechtserheblichen Sachverhalts die entsprechenden Fragen vollständig und präzise zu beantworten (vgl. Sachverhalt Bst. B). Hierzu nahm der Beschwerdeführer am 7. Februar 2013 schriftlich Stellung (vgl. Sachverhalt Bst. C). Der entscheidwesentliche Sachverhalt erscheint angesichts der schriftlichen Darlegung der Asylgründe soweit erstellt, dass die entscheidrelevanten Elemente vorliegen.</w:t>
      </w:r>
    </w:p>
    <w:p>
      <w:r>
        <w:rPr>
          <w:b/>
        </w:rPr>
        <w:t>E. 5.2.2</w:t>
      </w:r>
    </w:p>
    <w:p>
      <w:r>
        <w:t>Bei dieser Sachlage bestand keine Veranlassung, den Beschwer­deführer vorgängig eines Entscheides durch eine Schweizerische Vertretung zusätzlich persönlich befragen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Asylgesuches und der Verweigerung der Einreisebewilligung führt. In jedem Falle sind die Kriterien zu prüfen, welche die Zufluchtnahme in diesem Drittstaat als zumutbar erscheinen lassen, und diese sind mit einer allfälligen Beziehungsnähe zur Schweiz abzuwägen (vgl. a.a.O.).</w:t>
      </w:r>
    </w:p>
    <w:p>
      <w:r>
        <w:rPr>
          <w:b/>
        </w:rPr>
        <w:t>E. 6.2</w:t>
      </w:r>
    </w:p>
    <w:p>
      <w:r>
        <w:t>Es ist festzuhalten, dass sich die Beschwerde mehrheitlich auf eine Wiederholung der bisherigen Vorbringen beschränkt und mithin keine neuen wesentlichen Sachverhaltselemente geltend gemacht werden. Die Überprüfung der Akten ergibt sodann, dass sich die diesbezüglichen Erwägungen in der angefochtenen Verfügung als zutreffend erweisen. Das Bundesverwaltungsgericht gelangt in Übereinstimmung mit dem BFM zum Schluss, dass der Beschwerdeführer den Schutz der Schweiz gemäss aArt. 52 Abs. 2 AsylG nicht benötigt, weil es ihm - wie im Folgenden aufzuzeigen sein wird - trotz der nicht einfachen Bedingungen für äthiopische Flüchtlinge im Sudan zuzumuten ist, im Zufluchtsland zu verbleiben.</w:t>
      </w:r>
    </w:p>
    <w:p>
      <w:r>
        <w:rPr>
          <w:b/>
        </w:rPr>
        <w:t>E. 6.3</w:t>
      </w:r>
    </w:p>
    <w:p>
      <w:r>
        <w:t>Der Beschwerdeführer befindet sich gestützt auf seine Aussagen von Geburt an im Sudan. Als adoptiertes Kind einer eritreischen beziehungsweise äthiopischen Flüchtlingsfamilie kann er sich beim UNHCR registrieren lassen. Die vom UNHCR registrierten Flüchtlinge sind grundsätzlich gehalten, sich in einem UNHCR-Flüchtlingslager aufzuhalten und verfügen im Sudan nicht über ein freies Aufenthaltsrecht. Auch die Ausübung einer Arbeit ist in aller Regel nur mittels entsprechender Bewilligung zugänglich (vgl. US Department of State, Country Reports on Human Rights Practices for 2013: Sudan, Section 2. Respect for Civil Liberties, Inclu-ding: d. Freedom of Movement, Internally Displaced Persons, Protection of Refugees, and Stateless Persons). Viele Flüchtlinge, so auch der Beschwerdeführer, halten sich nicht in Flüchtlingslagern, sondern illegal in Khartum auf, wo sie versuchen, einer Arbeit nachzugehen. In der Vergangenheit kam es dort in vereinzelten Fällen zu Entführungen von Flüchtlingen beziehungsweise zu deren Deportation ins Heimatland. Gemäss gesicherten Erkenntnissen ist indessen das Risiko einer Deportation oder Verschleppung für Flüchtlinge, die im Sudan vom UNHCR anerkannt sind, gering (vgl. Urteile des Bundesverwaltungsgerichts D-6478/2013 vom 24. Dezember 2013 E. 5.3 und E-1452/2012 vom 15. Juni 2012 m.w.H.). Im vorliegenden Fall bestehen keine konkreten Hinweise auf eine drohende Deportation des Beschwerdeführers in sein Heimatland, da sich aus seinen Angaben nicht ergibt, er habe regimekritische Tätigkeiten ausgeübt oder weise ein erhöhtes Risikoprofil auf. Der Beschwerdeführer bringt denn auch keine konkreten Vorfälle zur Sprache, gestützt auf welche von einer konkreten und drohenden Gefährdung seiner Person auszugehen wäre. Vielmehr macht er geltend, das UNHCR wisse nicht, wo er sich aufhalte. Dies liegt indessen, wie bereits erwähnt, lediglich an ihm selbst. Doch lässt sich aus seinen Angaben immerhin schliessen, dass er in Khartum bei seinen Adoptiveltern lebt, somit über ein Beziehungsnetz verfügt und in den Genuss von deren Unterstützungsleistungen gelangt. Da er bereits seit über 27 Jahren in Khartum lebt, kann zudem angenommen werden, dass er - auch aufgrund der grossen äthiopischen Diaspora, welche vor Ort ist - selbst bei einem Ausfall der Adoptiveltern die nötigen Unterstützungsleistungen zur Existenzsicherung erhalten würde, um im Sudan leben zu können. Zudem steht es ihm offen, wie das BFM zutreffend feststellte, sich beim UNHCR um einen Platz in einem Flüchtlingslager zu bemühen, wo ihm der existenzielle Grundbedarf zur Verfügung gestellt wird. Einer allfälligen Versorgungsnotlage in Khartum könnte er mit diesem Schritt jedenfalls entgehen. Folglich kann im Fall des Beschwerdeführers nicht von einer existenziellen und lebensbedrohlichen Notlage ausgegangen werden. An dieser Einschätzung vermag auch sein christlicher Glaube nichts zu ändern. Gemäss den Kenntnissen des Bundesverwaltungsgerichts ist im Sudan die Religionsfreiheit in der Verfassung verankert, und es wird keine Gruppenverfolgung der Christen betrieben. Wie das BFM ebenfalls zutreffend feststellte, sind die christlichen Gemeinschaften im Sudan grundsätzlich anerkannt und dürfen sich in verschiedenen Bereichen wie Seelsorge, Ausbildung, Schule und anderen sozialen Einrichtungen frei betätigen. Auch wenn vereinzelte Diskriminierungen von Christen im Sudan nicht auszuschliessen sind, kann vorliegend nicht von einer unmittelbar drohenden Gefahr für den Beschwerdeführer ausgegangen werden. Mit seinem Argument, es sei für ihn als Christ im Sudan schwierig, macht er denn auch keine solchen geltend. Aus den Akten ergibt sich zudem nicht, dass er konkrete und seine Person betreffende Verfolgungsmassnahmen darlegt, dies umso weniger, als die Echtheit der in Kopie eingereichten und an seine Adoptiveltern gerichteten Aufforderung einer islamischen Gruppierung, den Sudan zu verlassen, zweifelhaft ist. Im Übrigen könnte sich der Beschwerdeführer nötigenfalls allfälligen Diskriminierungen aufgrund seines Glaubens auch durch den Aufenthalt in einem Lager entziehen.</w:t>
      </w:r>
    </w:p>
    <w:p>
      <w:r>
        <w:rPr>
          <w:b/>
        </w:rPr>
        <w:t>E. 6.4</w:t>
      </w:r>
    </w:p>
    <w:p>
      <w:r>
        <w:t>Gestützt auf die Aktenlage weist der Beschwerdeführer zudem keine (enge) Bindung zur Schweiz auf. Er macht geltend, dass in Drittländern keine Verwandten leben. Damit bestehen vorliegend keine Anknüpfungspunkte zur Schweiz.</w:t>
      </w:r>
    </w:p>
    <w:p>
      <w:r>
        <w:rPr>
          <w:b/>
        </w:rPr>
        <w:t>E. 6.5</w:t>
      </w:r>
    </w:p>
    <w:p>
      <w:r>
        <w:t>Zusammenfassend verfügt der Beschwerdeführer im Sudan offensichtlich über die Möglichkeit, sich vom UNHCR registrieren zu lassen, weitgehend Schutz vor einer Abschiebung in sein Heimatland sowie vor Verfolgung zu geniessen und sich im Sudan rechtmässig aufzuhalten. Er hat die Möglichkeit, sich beim UNHCR um einen Platz in einem Flüchtlingslager zu bemühen, um unentgeltlich in den Genuss der existenzsichernden Unterstützung zu gelangen, sofern er den weiteren Aufenthalt in Khartum nicht mehr in Betracht zieht. Der weitere Verbleib im Sudan ist als zumutbar zu betrachten; im Übrigen betrachten anscheinend selbst seine leiblichen Geschwister den Aufenthalt in einem Flüchtlingslager als zumutbar, sollen sie sich doch dem Beschwerdeführer zufolge in einem solchen aufhalten (vgl. Akten BFM A13/5 Bst. c S. 12). Demgegenüber bestehen keine Anknüpfungspunkte zur Schweiz, weshalb die Beziehungsnähe zu diesem Land zu verneinen ist. Der Beschwerdeführer benötigt folglich insgesamt den subsidiären Schutz der Schweiz gemäss aArt. 52 Abs. 2 AsylG nicht. Das BFM hat dem Beschwerdeführer zu Recht die Einreise in die Schweiz verweigert und sein Asylgesuch abgelehnt.</w:t>
      </w:r>
    </w:p>
    <w:p>
      <w:r>
        <w:rPr>
          <w:b/>
        </w:rPr>
        <w:t>E. 7</w:t>
      </w:r>
    </w:p>
    <w:p>
      <w:r>
        <w:t>Aus diesen Erwägungen ergibt sich, dass die angefochtene Verfügung Bundesrecht nicht verletzt sowie den rechtserheblichen Sachverhalt richtig und vollständig feststellt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