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D-3064/2022 vom 20. Juli 2022</w:t>
      </w:r>
    </w:p>
    <w:p>
      <w:r>
        <w:t>Bundesverwaltungsgericht, 2022-07-20, DE</w:t>
      </w:r>
    </w:p>
    <w:p>
      <w:r>
        <w:rPr>
          <w:b/>
        </w:rPr>
        <w:t xml:space="preserve">Quelle: </w:t>
      </w:r>
      <w:r>
        <w:t>https://mcp.opencaselaw.ch/entscheid/bvger_D-3064_2022</w:t>
      </w:r>
    </w:p>
    <w:p>
      <w:r>
        <w:t>FR: TAF D-3064/2022 du 20 juillet 2022</w:t>
      </w:r>
    </w:p>
    <w:p>
      <w:r>
        <w:t>IT: TAF D-3064/2022 del 20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 Im Rahmen des Wiederaufnahmeverfahrens (Art. 23-25 Dublin-III-VO) findet grundsätzlich keine (neue) Zuständigkeitsprüfung nach Kapitel III Dublin-III-VO mehr statt (vgl. zum Ganzen BVGE 2017 VI/5 E. 6.2 und 8.2.1).</w:t>
      </w:r>
    </w:p>
    <w:p>
      <w:r>
        <w:rPr>
          <w:b/>
        </w:rPr>
        <w:t>E. 4.3</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Maßgabe der Artikel 23, 24, 25 und 29 wiederaufzunehmen (Art. 18 Abs. 1 Bst. b Dublin-III-VO).</w:t>
      </w:r>
    </w:p>
    <w:p>
      <w:r>
        <w:rPr>
          <w:b/>
        </w:rPr>
        <w:t>E. 4.4</w:t>
      </w:r>
    </w:p>
    <w:p>
      <w:r>
        <w:t>Im Fall von unbegleiteten Minderjährigen ohne familiäre Anknüpfungspunkte zu einem anderen Mitgliedstaat gemäss Art. 8 Abs. 4 Dublin-III-VO ist stets derjenige Mitgliedstaat zuständig, in dem der Minderjährige seinen (aktuellen) Antrag auf internationalen Schutz gestellt hat; solche Minderjährige sind mithin vom Wiederaufnahmeverfahren ausgenommen (vgl. Filzwieser/Sprung, Dublin III-Verordnung, Wien 2014, Kap. 15 f. zu Art. 8).</w:t>
      </w:r>
    </w:p>
    <w:p>
      <w:r>
        <w:rPr>
          <w:b/>
        </w:rPr>
        <w:t>E. 5.1</w:t>
      </w:r>
    </w:p>
    <w:p>
      <w:r>
        <w:t>Vorab ist festzustellen, dass die vom Beschwerdeführer erhobene verfahrensrechtliche Rüge, das SEM habe das eingereichte Beweismittel (Kopie eines afghanischen Impfausweises) nicht erwähnt (vgl. Beschwerde S. 9 Ziffer 8), fehlgeht. Das SEM hat das betreffende Beweismittel entgegengenommen (vgl. SEM-Akte [...]-26) und sich bei der Entscheidfindung damit auseinandergesetzt (vgl. vorinstanzliche Verfügung S. 5 letzter Absatz und S. 6 zweiter Absatz). Eine Gehörsverletzung infolge Nichtbeachtung entscheidwesentlicher Beweismittel liegt somit nicht vor. Die Würdigung seitens der Vorinstanz bildet nunmehr Gegenstand des vorliegenden Beschwerdeverfahrens.</w:t>
      </w:r>
    </w:p>
    <w:p>
      <w:r>
        <w:rPr>
          <w:b/>
        </w:rPr>
        <w:t>E. 5.2</w:t>
      </w:r>
    </w:p>
    <w:p>
      <w:r>
        <w:t>Angesichts der vom SEM gestellten Informationsersuchen (vgl. Bst. B) sowie der den österreichischen Behörden im Rahmen des Übernahmeersuchens vom 29. November 2021 mitgeteilten Informationen bestand, entgegen der Auffassung des Beschwerdeführers (vgl. Beschwerde S. 10), keine Notwendigkeit zur Einholung weiterer Auskünfte (vgl. auch nachfolgend E. 6.2.2).</w:t>
      </w:r>
    </w:p>
    <w:p>
      <w:r>
        <w:rPr>
          <w:b/>
        </w:rPr>
        <w:t>E. 5.3</w:t>
      </w:r>
    </w:p>
    <w:p>
      <w:r>
        <w:t>Es besteht damit keine Veranlassung, die angefochtene Verfügung aus formellen Gründen aufzuheben. Der (Eventual-)Antrag um Rückweisung zur Neubeurteilung durch das SEM ist abzuweisen.</w:t>
      </w:r>
    </w:p>
    <w:p>
      <w:r>
        <w:rPr>
          <w:b/>
        </w:rPr>
        <w:t>E. 6.1</w:t>
      </w:r>
    </w:p>
    <w:p>
      <w:r>
        <w:t>Vorliegend ergab ein Abgleich der Fingerabdrücke des Beschwerdeführers mit der Eurodac-Datenbank, dass dieser vor der Einreise in die Schweiz in Österreich Asylgesuche gestellt hat (am [...] 2021 und [...] 2021). Das SEM ersuchte deshalb die österreichischen Behörden am 29. November 2021 um Übernahme des Beschwerdeführers im Sinne von Art. 18 Abs. 1 Bst. b Dublin-III-VO. Die österreichischen Behörden stimmten der Wiederaufnahme des Beschwerdeführers am 12. Dezember 2021 in Anwendung der besagten Bestimmung von Art. 18 Abs. 1 Bst. b Dublin-III-VO ausdrücklich. Die grundsätzliche Zuständigkeit Österreichs für die Durchführung des Asyl- und Wegweisungsverfahrens des Beschwerdeführers ist somit gegeben.</w:t>
      </w:r>
    </w:p>
    <w:p>
      <w:r>
        <w:rPr>
          <w:b/>
        </w:rPr>
        <w:t>E. 6.2</w:t>
      </w:r>
    </w:p>
    <w:p>
      <w:r>
        <w:t>Die vom Beschwerdeführer geltend gemachte Minderjährigkeit erachtete das SEM als nicht glaubhaft. Das Bundesverwaltungsgericht gelangt nach Prüfung der Akten zum Schluss, dass dieser Einschätzung beizupflichten ist.</w:t>
      </w:r>
    </w:p>
    <w:p>
      <w:r>
        <w:rPr>
          <w:b/>
        </w:rPr>
        <w:t>E. 6.2.1</w:t>
      </w:r>
    </w:p>
    <w:p>
      <w:r>
        <w:t>Asylsuchende sind verpflichtet, an der Feststellung des Sachverhalts mitzuwirken; insbesondere müssen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(vgl. Entscheidungen und Mitteilungen der [vormaligen] Schweizerischen Asylrekurskommission [EMARK] 2004 Nr. 30 E. 5.3.3; Urteil des BVGer E-891/2017 vom 8. August 2018 E. 4.2.3 m.w.H.).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Die asylsuchende Person hat bei der entsprechenden Sachverhaltsfeststellung mitzuwirken.</w:t>
      </w:r>
    </w:p>
    <w:p>
      <w:r>
        <w:rPr>
          <w:b/>
        </w:rPr>
        <w:t>E. 6.2.2</w:t>
      </w:r>
    </w:p>
    <w:p>
      <w:r>
        <w:t>Bei der Stellung des Asylgesuchs am 3. Oktober 2021 gab der Beschwerdeführer auf dem Personalienblatt den (...) als Geburtsdatum an (vgl. SEM-Akte [...]-1). Identitätsdokumente reichte er nicht ein; seine Identität steht daher nicht fest. In Österreich, Rumänien und Deutschland, wo der Beschwerdeführer zuvor Asylgesuche gestellt hatte, wurde er unter anderslautenden Personalien und Geburtsdaten registriert. Mit der Kopie eines afghanischen Impfausweises vermag der Beschwerdeführer das genannte Geburtsdatum ([...]) nicht zu belegen. Ein Impfausweis stellt kein rechtsgenügliches Identitätspapier dar und das lediglich in Form einer Kopie vorliegende Dokument vermag in Bezug auf das Alter des Beschwerdeführers keine genügende Beweiskraft zu entfalten. Anderweitige Dokumente, welche Rückschlüsse auf sein Alter zulassen würden, reichte der Beschwerdeführer nicht ein. Seine Angaben zu seinem Lebenslauf bei der EB UMA blieben vage. Auf konkrete Rückfragen zu seinem Alter und zur diesbezüglichen zeitlichen Einordnung von Ereignissen wich er wiederholt aus und gab an, sich nicht zu erinnern respektive nichts Genaues zu wissen. Das Ergebnis der am (...) November 2021 durchgeführten Begutachtung des Beschwerdeführers durch das Institut für Rechtsmedizin der Universität F._______ spricht für die Volljährigkeit des Beschwerdeführers. Von den in der Schweiz angewandten Methoden der medizinischen Altersabklärung sind die Schlüsselbein- respektive Skelettaltersanalyse und die zahnärztliche Untersuchung (nicht jedoch die Handknochenaltersanalyse und die ärztliche körperliche Untersuchung) zum Beweis der Minder- beziehungsweise Volljährigkeit einer Person geeignet. Keine Aussage zur Minder- beziehungsweise Volljährigkeit einer Person lässt sich anhand der medizinischen Altersabklärung machen, wenn das Mindestalter bei der zahnärztlichen Untersuchung und der Schlüsselbein- respektive Skelettaltersanalyse unter 18 Jahren liegt (vgl. BVGE 2018 VI/3 E. 4.21 f.). Der Einwand des Beschwerdeführers in der Rechtsmitteleingabe, dass bei seinem Skelett und seinen Zähnen ein Mindestalter von unter 18 Jahren ermittelt worden sei, vermag nicht zu greifen. Laut dem Gutachten liegt das bei der Schlüsselbein- respektive Skelettaltersanalyse ermittelte Mindestalter des Beschwerdeführers im Zeitpunkt der Untersuchung vom (...) November 2021 bei (...) Jahren und damit über 18 Jahren. Das Gutachten kommt zum Schluss, dass der Beschwerdeführer das 18. Lebensjahr mit an Sicherheit grenzender Wahrscheinlichkeit vollendet habe (vgl. SEM-Akte [...]-32). Diese medizinische Altersabklärung ist damit ein starkes Indiz für die Volljährigkeit des Beschwerdeführers im Zeitpunkt der Asylgesuchstellung in der Schweiz am 3. Oktober 2021. Anhaltspunkte, die aufgrund ihrer Beweiskraft geeignet wären, dennoch für die Minderjährigkeit des Beschwerdeführers zu sprechen, sind den Akten nicht zu entnehmen. Auch die in Österreich, Deutschland und Rumänien registrierten Geburtsdaten des Beschwerdeführers deuten durchwegs auf dessen Volljährigkeit hin (in Deutschland: [...] [vgl. SEM-Akte [...]-20], in Österreich: [...] [vgl. SEM-Akte [...]-23] und in Rumänien: [...] [vgl. SEM-Akte [...]-30]). Der Einwand des Beschwerdeführers, in keinem der besagten Länder zu seinem Alter befragt worden zu sein respektive nicht die dort registrierten Geburtsdaten beziehungsweise Geburtsjahre angegeben zu haben, vermag nicht zu überzeugen.</w:t>
      </w:r>
    </w:p>
    <w:p>
      <w:r>
        <w:rPr>
          <w:b/>
        </w:rPr>
        <w:t>E. 6.2.3</w:t>
      </w:r>
    </w:p>
    <w:p>
      <w:r>
        <w:t>Nach Würdigung aller Umstände ist es dem Beschwerdeführer, der die Beweislast trägt, nicht gelungen, die geltend gemachte Minderjährigkeit im Zeitpunkt der Asylgesuchstellung in der Schweiz glaubhaft zu machen. Es überwiegen diejenigen Umstände, die für das Erreichen der Volljährigkeit sprechen. Er hat die Folgen der Beweislosigkeit zu tragen (vgl. EMARK 2004 Nr. 30 E. 5.2).</w:t>
      </w:r>
    </w:p>
    <w:p>
      <w:r>
        <w:rPr>
          <w:b/>
        </w:rPr>
        <w:t>E. 6.3</w:t>
      </w:r>
    </w:p>
    <w:p>
      <w:r>
        <w:t>Aufgrund des Gesagten kommen vorliegend die in Art. 6 und 8 Dublin-III-VO verankerten Garantien für Minderjährige (d. h. Personen unter 18 Jahren [Art. 2 Bst. i Dublin-III-VO]) nicht zur Anwendung. Der Beschwerdeführer kann sich somit nicht auf die spezifischen Schutzbestimmungen der Dublin-III-VO für unbegleitete Minderjährige (Art. 8 Abs. 4 Dublin-III-VO) berufen. Damit bleibt die sich aus Art. 18 Abs. 1 Bst. b Dublin-III-VO ergebende (grundsätzliche) Zuständigkeit Österreichs bestehen. Der Wunsch des Beschwerdeführers um Verbleib in der Schweiz vermag daran nichts zu ändern, zumal die Dublin-III-VO den Schutzsuchenden kein Recht einräumt, den ihren Antrag prüfenden Staat selber auszuwählen (vgl. auch BVGE 2010/40 E. 8.3).</w:t>
      </w:r>
    </w:p>
    <w:p>
      <w:r>
        <w:rPr>
          <w:b/>
        </w:rPr>
        <w:t>E. 7.1</w:t>
      </w:r>
    </w:p>
    <w:p>
      <w:r>
        <w:t>Es sprechen auch keine anderen Umstände gegen eine Zuständigkeit Österreichs beziehungsweise eine Überstellung des Beschwerdeführers dorthin. Es gibt keine wesentlichen Gründe für die Annahme, das Asylverfahren und die Aufnahmebedingungen für Antragsteller in Österreich würden systemische Schwachstellen aufweisen, die eine Gefahr einer unmenschlichen oder entwürdigenden Behandlung im Sinne des Artikels 4 der EU-Grundrechtecharta mit sich bringen.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Satz 2 Dublin-III-VO nicht gerechtfertigt. Vorliegend besteht denn auch kein Grund zur Annahme, die österreichischen Behörden, die der Übernahme des Beschwerdeführers ausdrücklich zugestimmt haben, würden ihm den Zugang zum Asylverfahren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7.2</w:t>
      </w:r>
    </w:p>
    <w:p>
      <w:r>
        <w:t>Ebenso wenig liegen Gründe für die Anwendung der Souveränitäts-klausel von Art. 17 Abs. 1 Dublin-III-VO vor.</w:t>
      </w:r>
    </w:p>
    <w:p>
      <w:r>
        <w:rPr>
          <w:b/>
        </w:rPr>
        <w:t>E. 7.2.1</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7.2.2</w:t>
      </w:r>
    </w:p>
    <w:p>
      <w:r>
        <w:t>Der Beschwerdeführer hat keine konkreten und ernsthaften Hinweise für die Annahme dargetan, Österreich würde ihm nach der Überstellung dorthin die aus der Aufnahmerichtlinie zustehenden minimalen Lebensbedingungen vorenthalten. Die geltend gemachten gesundheitlichen Beschwerden ([...]) vermögen eine Unzulässigkeit im Sinne der restriktiven Rechtsprechung (vgl. Urteil des EGMR Paposhvili gegen Belgien 13. Dezember 2016, Grosse Kammer 41738/10, §§ 180-193 m.w.H.) nicht zu rechtfertigen. Den vorinstanzlichen Akten lässt sich entnehmen, dass der Beschwerdeführer - entgegen seiner anderslautenden Angabe in der Eingabe vom 30. Juni 2022 - hierzulande ärztlich betreut und versorgt wurde (vgl. SEM-Akten [...]-49, [...]-50, [...]-86, [...]-88, [...]-89) und es darf davon ausgegangen werden, dass er in Österreich bei Bedarf adäquat weiterbetreut wird. Österreich verfügt über eine ausreichende medizinische Infrastruktur und der Zugang zum dortigen Gesundheitssystem ist für asylsuchende Personen gewährleistet, zumal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Die schweizerischen Behörden, die mit dem Vollzug der angefochtenen Verfügung beauftragt sind, werden die österreichischen Behörden bei der Bestimmung der konkreten Modalitäten der Überstellung über aktuelle medizinische Umstände informieren (vgl. Art. 31 f. Dublin-III-VO).</w:t>
      </w:r>
    </w:p>
    <w:p>
      <w:r>
        <w:rPr>
          <w:b/>
        </w:rPr>
        <w:t>E. 7.2.3</w:t>
      </w:r>
    </w:p>
    <w:p>
      <w:r>
        <w:t>Der Vorinstanz kommt bei der Anwendung von Art. 29a Abs. 3 AsylV 1 Ermessen zu (vgl. BVGE 2015/9 E. 7 f.). Auch unter Berücksichtigung des vom Beschwerdeführer geäusserten Wunschs, hierzulande eine Ausbildung zu absolvieren, und der mittlerweile mehrmonatigen Verweildauer in der Schweiz mit einhergehenden Integrationsbemühungen, ist die angefochtene Verfügung unter diesem Blickwinkel nicht zu beanstanden; den Akten sind keine Hinweise auf eine gesetzeswidrige Ermessensausübung (vgl. Art. 106 Abs. 1 Bst. a AsylG) durch das SEM zu entnehmen. Das Bundesverwaltungsgericht enthält sich unter diesen Umständen weiterer Ausführungen zur Frage eines Selbsteintritts.</w:t>
      </w:r>
    </w:p>
    <w:p>
      <w:r>
        <w:rPr>
          <w:b/>
        </w:rPr>
        <w:t>E. 7.2.4</w:t>
      </w:r>
    </w:p>
    <w:p>
      <w:r>
        <w:t>Nach dem Gesagten besteht kein Grund für eine Anwendung der Ermessensklauseln von Art. 17 Dublin-III-VO und an dieser Stelle bleibt nochmals festzuhalten, dass die Dublin-III-VO den Schutzsuchenden kein Recht einräumt, den ihren Antrag prüfenden Staat selber auszuwählen (vgl. BVGE 2010/45 E. 8.3). Österreich bleibt somit zuständiger Mitgliedstaat gemäss Dublin-III-VO und ist verpflichtet, den Beschwerdeführer aufzunehmen.</w:t>
      </w:r>
    </w:p>
    <w:p>
      <w:r>
        <w:rPr>
          <w:b/>
        </w:rPr>
        <w:t>E. 7.3</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7.4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8</w:t>
      </w:r>
    </w:p>
    <w:p>
      <w:r>
        <w:t>Die Beschwerde ist aufgrund des Gesagten abzuweisen und die Verfügung des SEM zu bestätigen.</w:t>
      </w:r>
    </w:p>
    <w:p>
      <w:r>
        <w:rPr>
          <w:b/>
        </w:rPr>
        <w:t>E. 9</w:t>
      </w:r>
    </w:p>
    <w:p>
      <w:r>
        <w:t>Mit vorliegendem Urteil ist das Beschwerdeverfahren abgeschlossen, weshalb sich die Anträge auf Gewährung der aufschiebenden Wirkung der Beschwerde und auf Verzicht auf die Erhebung eines Kostenvorschusses als gegenstandslos erweisen. Der vorsorglich angeordnete Vollzugsstopp fällt dahin.</w:t>
      </w:r>
    </w:p>
    <w:p>
      <w:r>
        <w:rPr>
          <w:b/>
        </w:rPr>
        <w:t>E. 10.1</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10.2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