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D-304/2019 vom 17. September 2019</w:t>
      </w:r>
    </w:p>
    <w:p>
      <w:r>
        <w:t>Bundesverwaltungsgericht, 2019-09-17, DE</w:t>
      </w:r>
    </w:p>
    <w:p>
      <w:r>
        <w:rPr>
          <w:b/>
        </w:rPr>
        <w:t xml:space="preserve">Quelle: </w:t>
      </w:r>
      <w:r>
        <w:t>https://mcp.opencaselaw.ch/entscheid/bvger_D-304_2019</w:t>
      </w:r>
    </w:p>
    <w:p>
      <w:r>
        <w:t>FR: TAF D-304/2019 du 17 septembre 2019</w:t>
      </w:r>
    </w:p>
    <w:p>
      <w:r>
        <w:t>IT: TAF D-304/2019 del 17 settembre 2019</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2015).3</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(aArt. 108 Abs. 1 AsylG; Art. 105 AsylG i.V.m. Art. 37 VGG und Art. 52 Abs. 1 VwVG) eingereicht.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4.1</w:t>
      </w:r>
    </w:p>
    <w:p>
      <w:r>
        <w:t>Art. 63 AsylG regelt die Aberkennung der Flüchtlingseigenschaft und den Widerruf des Asyls. Gemäss Art. 63 Abs. 1 Bst. b AsylG wird die Flüchtlingseigenschaft aberkannt und das Asyl widerrufen, wenn Gründe nach Art. 1 Bst. C Ziff. 1-6 FK vorliegen.</w:t>
      </w:r>
    </w:p>
    <w:p>
      <w:r>
        <w:rPr>
          <w:b/>
        </w:rPr>
        <w:t>E. 4.2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4.3; 2010/17 E. 5.2.1).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Dies gilt für alle drei der genannten Voraussetzungen einer Aberkennung der Flüchtlingseigenschaft (vgl. auch Urteil des BVGer D-5754/2017 vom 24. Juli 2018 E. 3.3 mit Hinweis auf Urteile des BVGer E-6562/2016 vom 12. März 2018 E. 4.3 und E-7605/2007 vom 10. August 2009 E. 5.2.5). Bezüglich des Beweismasses ist festzuhalten, dass die Asylbehörden die relevanten Tatsachen grundsätzlich zu beweisen haben (vgl. Urteil E-7605/2007 E. 5.2.5). Soweit relevante Tatsachen nur mit unverhältnismässigem Aufwand oder mit den Behörden zur Verfügung stehenden Mitteln gar nicht bewiesen werden können, müssen sie mindestens überwiegend wahrscheinlich gemacht werden (analog Art. 7 AsylG).</w:t>
      </w:r>
    </w:p>
    <w:p>
      <w:r>
        <w:rPr>
          <w:b/>
        </w:rPr>
        <w:t>E. 5.1</w:t>
      </w:r>
    </w:p>
    <w:p>
      <w:r>
        <w:t>Die Vorinstanz begründet in der angefochtenen Verfügung im Wesentlichen, der Beschwerdeführer habe für sich und die Kinder C._______ und B._______ gemäss Bestätigung der irakischen Botschaft vom 12. Januar 2017 am 18. Oktober 2015 einen Nationalitätenausweis und eine Identitätskarte ausstellen lassen. Darin sei eine freiwillige Kontaktaufnahme mit dem Heimatstaat zu ersehen. Die Freiwilligkeit der Kontaktaufnahme im Jahr 2018 könne offengelassen werden. Der Schutz des Heimatstaates sei effektiv gewährt worden, da der irakische Staat den Beschwerdeführer und dessen Kinder als irakische Staatsbürger betrachte und so zum Ausdruck bringe, ihnen die Rechte und Pflichten zu gewähren, welche Irakern zustünden.</w:t>
      </w:r>
    </w:p>
    <w:p>
      <w:r>
        <w:rPr>
          <w:b/>
        </w:rPr>
        <w:t>E. 5.2</w:t>
      </w:r>
    </w:p>
    <w:p>
      <w:r>
        <w:t>Der Beschwerdeführer führt zum Punkt der Freiwilligkeit der Kontaktaufnahme an, er habe sich im Jahr 2018 um die Verlängerung der Niederlassungsbewilligung C für sich und die beiden Söhne B._______ und C._______ und der Aufenthaltsbewilligung B für seine Ehefrau bemüht. Es sei ihm dann gelungen, Identitätsdokumente für seine Söhne, aber nicht für sich selbst zu besorgen. Der Kontakt zu den heimatlichen Behörden sei auf Anhalten der zuständigen kantonalen Behörden geschehen. Es gehe nicht an, wenn der Beschwerdeführer einerseits angehalten werde, Dokumente aus dem Heimatstaat zu organisieren, um ihm dann zu unterstellen, er habe sich dessen Schutz unterstellt. Weiter habe er nie die Absicht gehabt, den Schutz des Irak in Anspruch zu nehmen, habe er doch gerade die Verlängerung seines Aufenthaltsstatus in der Schweiz angestrebt. Schliesslich habe er seinen Heimatstaat aufgrund der Verfolgung durch die Kurden und unter dem Schutz des Internationalen Komitees vom Roten Kreuz (IKRK) verlassen; es lägen keine objektiven Anhaltspunkte dafür vor, dass er im Irak nicht mehr verfolgt wäre, also eine tatsächliche Schutzgewährung bestehe.</w:t>
      </w:r>
    </w:p>
    <w:p>
      <w:r>
        <w:rPr>
          <w:b/>
        </w:rPr>
        <w:t>E. 6.1</w:t>
      </w:r>
    </w:p>
    <w:p>
      <w:r>
        <w:t>Als Unterschutzstellung im Sinne von Art. 1 C Ziff. 1 FK gelten in der Regel alle Handlungen, die auf die Wiederherstellung der normalen Beziehung mit den Behörden des Heimatlandes abzielen, darunter namentlich die Registrierung beim Konsulat oder die Beantragung eines neuen Passes.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Als Unterschutzstellung gelten denn auch nicht nur die tatsächliche Schutzbeanspruchung im Heimatland, sondern auch die Beanspruchung und Benutzung des diplomatischen Schutzes durch Beantragen und Verwenden eines heimatlichen Passes (vgl. BVGE 2011/28 E. 3.3.2 m.w.H., Urteil D-5754/2017 E. 5.1 Abs. 2 m.w.H).</w:t>
      </w:r>
    </w:p>
    <w:p>
      <w:r>
        <w:rPr>
          <w:b/>
        </w:rPr>
        <w:t>E. 6.2</w:t>
      </w:r>
    </w:p>
    <w:p>
      <w:r>
        <w:t>In diesem Zusammenhang bedingt das Kriterium der Freiwilligkeit, dass der Akt des Flüchtlings, der auf die Unterschutzstellung hinweist, ohne äusseren Zwang, insbesondere weder durch Behörden des Asyllandes oder die Behörden des Heimatlandes, geschieht. Es fehlt somit beispielsweise an der Freiwilligkeit, wenn der Flüchtling auf Geheiss der Behörden des Asyllandes bei der Behörde seines Heimatlandes die Ausstellung oder Erneuerung eines Reisepasses beantragt (vgl. BVGE 2010/17 E. 5.2.1, EMARK 1996 Nr. 12 E. 8a [S. 103],1996 Nr. 7 E. 8a [S. 60 f.]).</w:t>
      </w:r>
    </w:p>
    <w:p>
      <w:r>
        <w:rPr>
          <w:b/>
        </w:rPr>
        <w:t>E. 6.3</w:t>
      </w:r>
    </w:p>
    <w:p>
      <w:r>
        <w:t>Der Beschwerdeführer beruft sich zum Nachweis der fehlenden Freiwilligkeit auf eine solche Konstellation. Soweit er diese belegt, korrespondieren seine Vorbringen in zeitlicher Hinsicht jedoch nicht mit der Argumentation der Vorinstanz. Diese forderte ihn am 16. März 2018 auf, zum Vorhalt Stellung zu nehmen, er habe für sich und seine Kinder irakische Identitätsdokumente ausstellen lassen. Er teilte am 29. März 2018 mit, er habe sich im Jahr 2017 im Zusammenhang mit der Erneuerung der Niederlassungs- und Aufenthaltsbewilligungen auf Verlangen der Behörden um Ausweispapiere bemüht und schliesslich auf Umwegen ein "Familienbüchlein" zu erlangen vermocht (SEM-act. G5). Nach der erneuten Gewährung des rechtlichen Gehörs teilte er am 12. September 2018 mit, er habe sich im Jahr 2018 auf Verlangen der schweizerischen Behörden um Reisepässe der Söhne zu bemühen gehabt und schliesslich "Identitätsdokumente" für seine Söhne, nicht aber sich selbst, besorgen können. Er belegte dies durch die Korrespondenz mit der zuständigen Behörde seines Wohnortes. Er wurde in der Folge - nämlich mit Schreiben des SEM vom 31. Oktober 2018 - ausdrücklich darauf hingewiesen, dass sich die Vorinstanz auf eine Bestätigung der irakischen Behörde vom 12. Januar 2017 stütze, gemäss welcher für den Beschwerdeführer und seine Söhne am 18. Oktober 2015 irakische Dokumente, namentlich ein Nationalitätenausweis sowie eine Identitätskarte, ausgestellt worden seien (SEM-act. G10). Der Beschwerdeführer verwies in der Stellungnahme vom 23. November 2018 wiederum (wenn auch ohne zeitliche Angabe) auf die durch die Behörden motivierte Dokumentenbesorgung (SEM-act. G11). In der angefochtenen Verfügung brachte die Vorinstanz erneut explizit zum Ausdruck, ihr Entscheid stütze sich auf die Ausstellung von Identitätsdokumenten im Jahr 2015, weshalb die Motivlage im Jahr 2018 irrelevant sei. Soweit in der Beschwerde wiederum darauf Bezug genommen wird, der Beschwerdeführer habe sich im Jahr 2018 einzig auf behördliche Aufforderung hin um die Verlängerung der Aufenthalts-/Niederlassungsbewilligungen bemüht und deshalb dieser Dokumente bedurft, geht dies an der Argumentation der Vorinstanz vorbei. Insofern hat die Vorinstanz zu Recht erkannt, hinsichtlich des Ausstellenlassens von Identitätsdokumenten im Jahr 2015 sei von einer Freiwilligkeit auszugehen.</w:t>
      </w:r>
    </w:p>
    <w:p>
      <w:r>
        <w:rPr>
          <w:b/>
        </w:rPr>
        <w:t>E. 7.1</w:t>
      </w:r>
    </w:p>
    <w:p>
      <w:r>
        <w:t>Allerdings wandte der Beschwerdeführer bereits vor Vorinstanz ein, er habe seinen Heimatstaat aufgrund einer Verfolgung durch "die Kurden" verlassen müssen (vgl. SEM-act. G9). Damit macht er sinngemäss geltend, nicht vom irakischen Zentralstaat, welcher durch die Botschaft der Republik Irak in Bern vertreten werde, verfolgt worden zu sein. Aus der Kontaktnahme mit den Behörden der irakischen Zentralregierung könne nicht abgeleitet werden, er habe sich (auch) unter den Schutz der kurdischen Regionalregierung gestellt.</w:t>
      </w:r>
    </w:p>
    <w:p>
      <w:r>
        <w:rPr>
          <w:b/>
        </w:rPr>
        <w:t>E. 7.2</w:t>
      </w:r>
    </w:p>
    <w:p>
      <w:r>
        <w:t>Aus den Akten des Asylverfahrens, welches zur Anerkennung der Flüchtlingseigenschaft und Gewährung des Asyls führte, ergibt sich, dass der Beschwerdeführer eine Verfolgung durch die PUK (Patriotische Union Kurdistans) als quasi-staatlichem Akteur geltend machte. Zum - auf Beschwerdeebene wiederholten - Einwand des Beschwerdeführers, er habe sich durch die Kontaktnahme mit der irakischen Botschaft nicht unter den Schutz seines Verfolgers, mithin sinngemäss der heutigen nordirakischen Autonomen Region Kurdistans (Region des "Kurdistan Regional Government" [KRG]) gestellt, hat sich die Vorinstanz weder in der angefochtenen Verfügung noch im Rahmen der Vernehmlassung geäussert.</w:t>
      </w:r>
    </w:p>
    <w:p>
      <w:r>
        <w:rPr>
          <w:b/>
        </w:rPr>
        <w:t>E. 7.3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und die Rechtsmittelinstanz eine Prüfung vornehmen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7.4</w:t>
      </w:r>
    </w:p>
    <w:p>
      <w:r>
        <w:t>Nachdem die Vorinstanz den unter vorstehender Erwägung 7.1 erwähnten Einwand des Beschwerdeführers weder in der angefochtenen Verfügung noch in ihrer Vernehmlassung erwähnt und sich damit auseinandergesetzt hat, verletzte sie ihre Begründungspflicht. Weder für den Beschwerdeführer noch für das Bundesverwaltungsgericht ist ersichtlich, ob das SEM den Einwand übersehen oder als unbeachtlich erachtet hat. Dass der Beschwerdeführer die Verletzung der Begründungspflicht nicht ausdrücklich geltend machte, ist unbeachtlich, wendet doch das Bundesverwaltungsgericht das Recht von Amtes wegen an und ist an die Begründung der Parteien nicht gebunden (Art. 62 Abs. 4 VwVG).</w:t>
      </w:r>
    </w:p>
    <w:p>
      <w:r>
        <w:rPr>
          <w:b/>
        </w:rPr>
        <w:t>E. 7.5</w:t>
      </w:r>
    </w:p>
    <w:p>
      <w:r>
        <w:t>Gemäss Art. 61 Abs. 1 VwVG entscheidet das Bundesverwaltungsgericht in der Sache selbst oder weist diese ausnahmsweise mit verbindlichen Weisungen an die Vorinstanz zurück. Eine Kassation und Rückweisung an die Vorinstanz ist insbesondere angezeigt, wenn eine schwere Verfahrensverletzung vorliegt, was hier zu bejahen ist. Entsprechend ist vorliegend eine Kassation der angefochtenen Verfügung angezeigt. Im Übrigen bleibt auf diese Weise der Instanzenzug erhalten, was umso wichtiger ist, als das Bundesverwaltungsgericht letztinstanzlich entscheidet.</w:t>
      </w:r>
    </w:p>
    <w:p>
      <w:r>
        <w:rPr>
          <w:b/>
        </w:rPr>
        <w:t>E. 7.6</w:t>
      </w:r>
    </w:p>
    <w:p>
      <w:r>
        <w:t>Die Beschwerde ist demnach gutzuheissen, soweit die Aufhebung der angefochtenen Verfügung beantragt wird, und die Sache ist im Sinne der vorstehenden Erwägungen zur neuen Prüfung und Entscheidung an die Vorinstanz zurückzuweisen. Bei diesem Verfahrensausgang erübrigt es sich, auf weitere Ausführungen in der Beschwerde näher einzugehen.</w:t>
      </w:r>
    </w:p>
    <w:p>
      <w:r>
        <w:rPr>
          <w:b/>
        </w:rPr>
        <w:t>E. 8.1</w:t>
      </w:r>
    </w:p>
    <w:p>
      <w:r>
        <w:t>Ausgangsgemäss sind keine Kosten zu erheben (Art. 63 Abs. 1 und 2 VwVG). Der geleistete Kostenvorschuss ist dem Beschwerdeführer zurückzuerstatten.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Der Rechtsvertreter reichte keine Kostennote ein. Auf eine Nachforderung einer solchen kann jedoch verzichtet werden, da sich der Aufwand zuverlässig abschätzen lässt (Art. 14 Abs. 2 VGKE). Die von der Vorinstanz zu entrichtende Parteientschädigung ist in Berücksichtigung der massgeblichen Bemessungsfaktoren (vgl. Art. 8 ff. VGKE) auf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