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D-3047/2025 vom 30. Dezember 2025</w:t>
      </w:r>
    </w:p>
    <w:p>
      <w:r>
        <w:t>Bundesverwaltungsgericht, 2025-12-30, DE</w:t>
      </w:r>
    </w:p>
    <w:p>
      <w:r>
        <w:rPr>
          <w:b/>
        </w:rPr>
        <w:t xml:space="preserve">Quelle: </w:t>
      </w:r>
      <w:r>
        <w:t>https://mcp.opencaselaw.ch/entscheid/bvger_D-3047_2025</w:t>
      </w:r>
    </w:p>
    <w:p>
      <w:r>
        <w:t>FR: TAF D-3047/2025 du 30 décembre 2025</w:t>
      </w:r>
    </w:p>
    <w:p>
      <w:r>
        <w:t>IT: TAF D-3047/2025 del 30 dicembre 2025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formelle Rügen erhoben. Sie sind vorab zu beurteilen, da sie gegebenenfalls geeignet sind, eine Kassation der vorinstanzlichen Verfügung zu bewirken.</w:t>
      </w:r>
    </w:p>
    <w:p>
      <w:r>
        <w:rPr>
          <w:b/>
        </w:rPr>
        <w:t>E. 3.2</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w:t>
      </w:r>
    </w:p>
    <w:p>
      <w:r>
        <w:rPr>
          <w:b/>
        </w:rPr>
        <w:t>E. 3.3.1</w:t>
      </w:r>
    </w:p>
    <w:p>
      <w:r>
        <w:t>Der Beschwerdeführer macht zum einen geltend, das SEM habe ihn nicht bezüglich der angeblichen Unglaubhaftigkeit seiner Vorbringen betreffend seine Freilassung und den damit verbundenen Umständen, dem Aufenthalt und den Schilderungen zur Haft beim Geheimdienst und der Polizei, konfrontiert und somit den Untersuchungsgrundsatz (Art. 12 VwVG) verletzt. Des Weiteren rügt der Beschwerdeführer eine Verletzung seines Anspruches auf rechtliches Gehör, weil ihm durch die Unterlassung der gezielten Rückfragen die Möglichkeit genommen worden sei, allfällige unsubstantiierte Aussagen genauer auszuführen.</w:t>
      </w:r>
    </w:p>
    <w:p>
      <w:r>
        <w:rPr>
          <w:b/>
        </w:rPr>
        <w:t>E. 3.3.2</w:t>
      </w:r>
    </w:p>
    <w:p>
      <w:r>
        <w:t>Das Gericht kann dieser Argumentation nicht folgen. Eine Konfrontation mit Widersprüchen oder Unzulänglichkeiten in den eigenen Aussagen kann zwar der Sachverhaltsaufklärung dienen, ist aber nicht Pflicht. Dem Protokoll der ergänzenden Anhörung sind sodann keine Hinweise zu entnehmen, dass die befragende Person ungenügend nachgefragt beziehungsweise den Beschwerdeführer nicht aufgefordert hätte, noch detaillierter zu berichten. Dem Beschwerdeführer wurde in zwei Anhörungen Gelegenheit gegeben, sich zu seinen Fluchtgründen zu äussern, was er auch umfassend gemacht hat, und auch die anschliessenden Fragen erscheinen angemessen und korrekt. Der Sachverhalt wurde damit genügend erstellt. Auch der Umstand, dass bei den Anhörungen eine andere Person zu gegen war, als den Entscheid redigiert hat, ist nicht als Verletzung des rechtlichen Gehörs zu qualifizieren. Die Protokolle werden denn auch so verfasst, dass auch die nonverbale Kommunikation ihren Niederschlag findet. Die Auffassung des Beschwerdeführers, was die materielle Beurteilung der Vorbringen in Bezug auf ihre Glaubhaftigkeit anbelangt, betrifft keine Verfahrenspflichtverletzung, sondern viel mehr die Frage, ob der materiellen Einschätzung der Vorinstanz zu folgen ist. Darauf wird weiter unten einzugehen sein (E. 6 ff.).</w:t>
      </w:r>
    </w:p>
    <w:p>
      <w:r>
        <w:rPr>
          <w:b/>
        </w:rPr>
        <w:t>E. 3.4</w:t>
      </w:r>
    </w:p>
    <w:p>
      <w:r>
        <w:t>Nach dem Gesagten kann nicht von einer Verletzung des Untersuchungsgrundsatzes beziehungsweise des rechtlichen Gehörs ausgegangen werden. Die vom Beschwerdeführer erhobenen formellen Rügen erweisen sich damit als unbegründet. Es besteht somit keine Veranlassung, die angefochtenen Verfügung aus diesen Gründen aufzuheben und die Sache zur Feststellung des vollständigen und richtigen rechtserheblichen Sachverhalts und zur Neubeurteilung an das SEM zurückzuweisen. Die entsprechenden Anträge sind demzufolge abzuweisen.</w:t>
      </w:r>
    </w:p>
    <w:p>
      <w:r>
        <w:rPr>
          <w:b/>
        </w:rPr>
        <w:t>E. 4.1</w:t>
      </w:r>
    </w:p>
    <w:p>
      <w:r>
        <w:t>Die Schweiz gewährt Flüchtlingen grundsätzlich Asyl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Die Flüchtlingseigenschaft muss nachgewiesen oder zumindest glaubhaft gemacht werden (Art. 7 AsylG). Sie ist dann glaubhaft gemacht, wenn die Behörde ihr Vorhandensein mit überwiegender Wahrscheinlichkeit für gegeben hält.</w:t>
      </w:r>
    </w:p>
    <w:p>
      <w:r>
        <w:rPr>
          <w:b/>
        </w:rPr>
        <w:t>E. 4.2</w:t>
      </w:r>
    </w:p>
    <w:p>
      <w:r>
        <w:t>Die Flüchtlingseigenschaft gemäss Art. 3 AsylG erfüllt eine asylsuchende Person nach Lehre und Rechtsprechung, wenn sie Nachteile von bestimmter Intensität erlitten hat beziehungsweise mit beachtlicher Wahrscheinlichkeit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(subjektive) Furcht gelten können (vgl. BVGE 2014/27 E. 6.1, 2010/57 E. 2.5 jeweils m.w.H.).</w:t>
      </w:r>
    </w:p>
    <w:p>
      <w:r>
        <w:rPr>
          <w:b/>
        </w:rPr>
        <w:t>E. 4.3</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5.1</w:t>
      </w:r>
    </w:p>
    <w:p>
      <w:r>
        <w:t>Die Vorinstanz begründete ihren Entscheid im Wesentlichen damit, dass die vom Beschwerdeführer dargelegten Sachverhaltsschilderungen, welche zu seiner Flucht geführt hätten, unglaubhaft seien und somit den Anforderungen an Art. 7 AsylG nicht genügen würden. Bereits die angeblichen Aussagen der Parteileute zur Tutsizugehörigkeit des Beschwerdeführers, insbesondere zu seiner Nase, sowie die Drohung, sie würden alle Tutsi oder speziell ihn umbringen, seien als stereotypisch und klischeehaft zu erachten. Der Beschwerdeführer sei zudem nicht in der Lage gewesen, seinen angeblichen Aufenthalt bei Geheimdienst und Polizei zu beschreiben. Er habe keine genauen zeitlichen Angaben zu seinem Aufenthalt gemacht, ausser undifferenzierte Aussagen zu Schreien und Schlägen, und auch seine Zelle beim Geheimdienst habe er nur ohne weitere Details als dunkel beschrieben. Dasselbe gelte sowohl für die Zelle bei der Polizei als auch mit Blick auf den Transport dazwischen. Aussagen zum Motorradfahrer und dem Ort, zu dem er ihn gefahren habe, seien vage und auch auf elementare Fragen, beispielsweise wie es zu einer Freilassung kommen konnte, habe der Beschwerdeführer nicht antworten können. Ferner seien die Aussagen des Beschwerdeführers auch logisch nicht nachvollziehbar. Es müsse bereits als unrealistischer Zufall erachtet werden, dass sechs Parteileute und insbesondere drei der höchsten Beamten und Parteichefs zu ihm ins Hotel gekommen seien, obwohl es sich offensichtlich nicht um ein besonderes Hotel gehandelt habe. Zudem sei unrealistisch, dass ein Computer plötzlich verschwunden und der Beschwerdeführer verantwortlich gemacht worden sei. Ebenso wenig nachvollziehbar sei das Auftauchen seines Vorgesetzen beim Geheimdienst. Auch die Umstände seiner Freilassung seien unlogisch, da der Beschwerdeführer nicht erklären könne, wie diese zustande gekommen sei. Zumindest im Nachhinein hätte er dies in Erfahrung bringen können. Schliesslich erscheine auch die Ausreise über den Flughafen unrealistisch, da er keine Angaben zu den Kontrollen machen könne.</w:t>
      </w:r>
    </w:p>
    <w:p>
      <w:r>
        <w:rPr>
          <w:b/>
        </w:rPr>
        <w:t>E. 5.2</w:t>
      </w:r>
    </w:p>
    <w:p>
      <w:r>
        <w:t>Der Beschwerdeführer monierte in seiner Beschwerde, dass seine Vorbringen widerspruchsfrei und substantiiert ausgefallen seien und er in der ersten Anhörung sogar gebeten worden sei, seine Asylgründe zunächst nur etwas mehr, und dann sehr stark zusammenzufassen. Den angeblichen klischeehaften Aussagen zu seiner Nase aufgrund seiner Zugehörigkeit zur Volksgruppe der Tutsi sei zu entgegnen, dass diese als ethnisches Merkmal gelte und Aussagen dazu Ausdruck realer rassistischer Gewalt seien, welche auf einer dokumentierten historischen Verfolgungspraxis basiere. Zudem schildere er die Aussage zu seiner Nase nicht isoliert, sondern im Zusammenhang mit einem sich steigernden Eskalationsverlauf, welches in rassistischer Gewalt münde. Von der Rezeption über die ID-Kontrolle, rassistischen Bemerkungen und physischen Attacken bis hin zum Aufenthalt in der Polizeizelle. Dieser Umstand demonstriere klar, dass er nicht als Individuum, sondern ausschliesslich als Mitglied einer ethnischen Gruppe wahrgenommen und angegriffen wurde. Entgegen der Behauptung der Vorinstanz habe er seinen Aufenthalt bei Geheimdienst und Polizei detailliert beschrieben. Er habe die Haftbedingungen und erlittenen Misshandlungen konkret, anschaulich und konsistent ausgedrückt, und insbesondere auch die Art und Regelmässigkeit der Gewalt und seine in diesem Moment empfundenen Emotionen genau beschrieben, auch wenn er sich dabei sichtlich unwohl gefühlt habe. Zudem habe er den Transport nicht unsubstantiiert, sondern mit subjektiven und physischen Wahrnehmungselementen beschrieben, was die Glaubhaftigkeit der Schilderung fördere. Zuletzt dürfe die Tatsache, dass gewisse Elemente in der Schilderung des Transports fehlen würden, mit Blick auf seine extreme psychische Belastung nicht zulasten seiner Glaubwürdigkeit ausgelegt werden.</w:t>
      </w:r>
    </w:p>
    <w:p>
      <w:r>
        <w:rPr>
          <w:b/>
        </w:rPr>
        <w:t>E. 5.3</w:t>
      </w:r>
    </w:p>
    <w:p>
      <w:r>
        <w:t>In seiner Vernehmlassung hielt die Vorinstanz im Wesentlichen an den Erwägungen der angefochtenen Verfügung bezüglich mangelnde Substanz der Aussagen fest und führte aus, die angebliche Traumatisierung könne diesen Mangel nicht erklären. Im Übrigen gebe es in Burundi keine asylrelevante Verfolgung der Tutsi.</w:t>
      </w:r>
    </w:p>
    <w:p>
      <w:r>
        <w:rPr>
          <w:b/>
        </w:rPr>
        <w:t>E. 5.4</w:t>
      </w:r>
    </w:p>
    <w:p>
      <w:r>
        <w:t>Der Beschwerdeführer hielt dem in seiner Replik entgegen, dass sich seine Aussagen durch spezifische, konkrete und emotional eingebettete Erinnerungen und zahlreiche Realkennzeichen auszeichnen würden. Auch wurde der Vorinstanz entgegnet, in Burundi bestehe nach wie vor ernsthafte und dokumentierte Hinweise auf eine strukturelle, staatlich mitgetragene oder zumindest geduldete Beeinträchtigung, Einschüchterung und Marginalisierung von Tutsi. Auch würden Tutsi in der politischen Propaganda der Regierungspartei systematisch als Bedrohung dargestellt.</w:t>
      </w:r>
    </w:p>
    <w:p>
      <w:r>
        <w:rPr>
          <w:b/>
        </w:rPr>
        <w:t>E. 6.1</w:t>
      </w:r>
    </w:p>
    <w:p>
      <w:r>
        <w:t>Die Vorinstanz begründete ihren ablehnenden Entscheid mit der Unglaubhaftigkeit der vorgebrachten Fluchtgründe des Beschwerdeführers. Nachfolgend ist diese Einschätzung der Vorinstanz einer eingehenden Analyse zu unterziehen.</w:t>
      </w:r>
    </w:p>
    <w:p>
      <w:r>
        <w:rPr>
          <w:b/>
        </w:rPr>
        <w:t>E. 6.2</w:t>
      </w:r>
    </w:p>
    <w:p>
      <w:r>
        <w:t>Studien zufolge fallen erfundene Handlungsschilderungen inhaltlich relativ einfach aus, da die kognitive Energie für eine komplexe Darstellung in der Regel nicht ausreicht. Aussagen mit Erlebnishintergrund weisen eine höhere inhaltliche Qualität auf als Erfindungen und beinhalten Realkennzeichen, logische Konsistenz, ungeordnete sprunghafte Darstellung und quantitativen Detailreichtum. Eine unstrukturierte Darstellung ist ein aussagekräftiges Glaubhaftigkeitsmerkmal, da es für Falschaussagende schwierig ist, eine Aussage unstrukturiert zu gestalten und dabei den Überblick nicht zu verlieren (vgl. Revital Ludewig/Daphna Tavor/Sonja Baumer, Wie können aussagepsychologische Erkenntnisse Richtern, Staatsanwälten und Anwälten helfen? AJP 2011, S.1415-1435).</w:t>
      </w:r>
    </w:p>
    <w:p>
      <w:r>
        <w:rPr>
          <w:b/>
        </w:rPr>
        <w:t>E. 6.3</w:t>
      </w:r>
    </w:p>
    <w:p>
      <w:r>
        <w:t>Es fällt auf, dass der Beschwerdeführer die vorgebrachten Ereignisse zur Verfolgung trotz seiner sehr langen freien Rede während seiner Anhörung ausschliesslich in rein chronologischer Weise vorbrachte. Die sprunghafte Erzählweise, die einer Wahrerzählung oft zu Grunde liegt, fehlt gänzlich. Auch ist festzustellen, dass die Schilderungen in der freien Rede in den beiden Anhörungen zum Teil praktisch deckungsgleich sind, was auf eine gelernte Geschichte hindeuten könnte. Und schliesslich mag es erstaunen, dass sich mehrere zum Teil sehr hohe Parteifunktionäre spontan und ohne vorgängige Reservation in einem mittelklassigen Hotel einfinden. Auf der anderen Seite ist entgegen den vorinstanzlichen Erwägungen festzustellen, dass der Beschwerdeführer die Ereignisse im Hotel äusserst ausführlich berichten konnte und sich dabei auch zahlreiche Realkennzeichen, wie direkte Rede und unwichtige Details, finden lassen. Auch die rassistischen, verbalen Angriffe erachtet das Gericht nicht als klischeehaft, sondern vielmehr eher realitätsnah. Der Umstand, dass in einem mittelklassigen Hotel ein Computer gestohlen wird und in der Folge zunächst der Beschwerdeführer als Zugehöriger einer diskriminierten Ethnie und Zuständiger der Reception in Verdacht gerät, scheint aus Sicht des Gerichts ebenfalls nicht abwegig. Eine abschliessende Einschätzung, ob die Ereignisse im Hotel als glaubhaft zu qualifizieren sind, kann an dieser Stelle jedoch unterbleiben, zumal es dem Beschwerdeführer, wie nachfolgend dargelegt, nicht gelingt, die daraus folgende asylrechtlich relevante Verfolgung glaubhaft zu machen.</w:t>
      </w:r>
    </w:p>
    <w:p>
      <w:r>
        <w:rPr>
          <w:b/>
        </w:rPr>
        <w:t>E. 6.4</w:t>
      </w:r>
    </w:p>
    <w:p>
      <w:r>
        <w:t>So erachtet auch das Gericht in Übereinstimmung mit den Erwägungen der Vorinstanz die Vorbringen bezüglich Inhaftierung und Folter als ausgesprochen vage und unsubstantiiert, insbesondere auch im Vergleich zu den ausführlichen Darlegungen bezüglich der Ereignisse im Hotel. Realkennzeichen, Nebensächlichkeiten sowie persönliche Überlegungen oder innere Gedankengänge sind in diesem Teil der Schilderungen kaum vorhanden, obwohl sie gerade hier anzutreffen sein müssten. Es gelang ihm nicht, erlebnisbasiert zu schildern, wie er in Haft von dem Geheimdienst befragt und misshandelt worden sein soll. Auffallend sind dabei auch die ausweichenden Antworten zur Dauer der Haft. Es erscheint nicht nachvollziehbar, dass der Beschwerdeführer diesbezüglich keine Angaben machen konnte. Ebenso wenig schlüssig erweisen sich ferner die Schilderungen zu seiner Freilassung oder Flucht. Er konnte nicht erklären, wie der Sicherheitsmann dazu gekommen sein soll, ihn heimlich freizulassen. Angesichts des geltend gemachten ausgeprägten Verfolgungsinteresses hoher Parteifunktionäre und des Geheimdienstes scheint es bereits überraschend, dass ein Sicherheitsmann ein entsprechendes Risiko auf sich genommen hätte. Dass der Beschwerdeführer im Anschluss an seine Flucht dann aber weder erfahren haben will, wer diese ermöglicht haben soll und unter welchen Kosten, ist in keiner Weise nachvollziehbar, zumal er sich noch einige Zeit beim Onkel aufgehalten haben will. Der Beschwerdeführer ist auch nicht in der Lage, den Ablauf der Flucht nachvollziehbar zu schildern, insbesondere fehlen Aussagen zur Identität des Motorradfahrers, zum Ort, wohin er gebracht worden sei, und zum Transport nach D._______ zu seinem Onkel. Auch seine Aussage, er habe nach der Flucht mit niemandem, auch nicht mit seinen Vorgesetzten oder seinen ehemaligen Arbeitskollegen Kontakt aufgenommen, vermag nicht zu überzeugen, zumal sein Vorgesetzter ihn am Tag nach der Verhaftung besucht und sich gemäss Aussagen des Beschwerdeführers möglicherweise für seine Freilassung eingesetzt habe. Seine verallgemeinernd gehaltenen Antworten auf Fragen diesbezüglich und seine aneinander gereihten Aussagen hinterlassen insgesamt den Eindruck eines Erzählkonstrukts.</w:t>
      </w:r>
    </w:p>
    <w:p>
      <w:r>
        <w:rPr>
          <w:b/>
        </w:rPr>
        <w:t>E. 6.5</w:t>
      </w:r>
    </w:p>
    <w:p>
      <w:r>
        <w:t>Obwohl nicht auszuschliessen ist, dass der Beschwerdeführer in Verdacht geraten ist, einen Computer eines Hotelgastes gestohlen zu haben und er allenfalls in diesem Zusammenhang auch vorübergehend in Gewahrsam genommen wurde, was grundsätzlich als rechtsstaatlich legitim erscheint, vermochte es der Beschwerdeführer nicht glaubhaft zu machen, dass sich daraus eine asylrechtlich relevante Verfolgung ergab. Vielmehr ist davon auszugehen, dass der Beschwerdeführer weder lange Zeit inhaftiert war, noch dass es dabei zu Folter gekommen wäre oder er sich dieser Haft durch Flucht hat entziehen müssen. Zwar mag es vorkommen, dass Zugehörige der Tutsi-Ethnie im burundischen Alltag Schikanen ausgesetzt sein können oder dass politisch aktive Tutsi als Oppositionelle einem Politmalus unterliegen können (Conseil des droits de l'homme des Nations unies, Rapport final détaillé de la Commission d'enquête sur le Burundi (A/HRC/36/CRP.1/Rev.1), 29.09.2017). Eine solche Situation vermochte der Beschwerdeführer vorliegend jedoch nicht glaubhaft zu machen. Hinzu kommt, dass er offensichtlich in keiner Weise politische tätig war.</w:t>
      </w:r>
    </w:p>
    <w:p>
      <w:r>
        <w:rPr>
          <w:b/>
        </w:rPr>
        <w:t>E. 6.6</w:t>
      </w:r>
    </w:p>
    <w:p>
      <w:r>
        <w:t>Zusammenfassend kommt das Gericht zum Schluss, dass die Vorbringen des Beschwerdeführers, welche ihn zur Flucht bewogen hätten, nicht den Anforderungen an die Glaubhaftigkeit im Sinne von Art. 7 AsylG genügen. Es ist nicht davon auszugehen, dass die burundischen Behörden im Zeitpunkt der Ausreise ein asylrechtlich relevantes Verfolgungsinteresse am Beschwerdeführer gehabt hätten. Die Vorinstanz hat damit im Ergebnis zu Recht die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Burundi herrscht zurzeit weder Krieg oder Bürgerkrieg noch eine Situation allgemeiner Gewalt. Das Bundesverwaltungsgericht geht denn in seiner Praxis auch nicht von einer generellen Unzumutbarkeit des Wegweisungsvollzugs nach Burundi aus, auch wenn die allgemeine Lage in einigen Provinzen insbesondere in sicherheitspolitischer und wirtschaftlicher Hinsicht heikel ist (vgl. statt vieler: Urteile des BVGer E-6339/2024 vom 12. Dezember 2024 E. 8.4.2; E-3219/2024 vom 29. November 2024 E. 8.2; D-3735/2024 vom 21. Juni 2024 E. 9.3.1 m.w.H.).</w:t>
      </w:r>
    </w:p>
    <w:p>
      <w:r>
        <w:rPr>
          <w:b/>
        </w:rPr>
        <w:t>E. 8.3.3</w:t>
      </w:r>
    </w:p>
    <w:p>
      <w:r>
        <w:t>Sodann liegen keine individuellen Gründe vor, die gegen einen Vollzug der angeordneten Wegweisung sprechen. Der ledige und gesunde Beschwerdeführer verfügt über einen Schulabschluss und arbeitete bis zu seiner Ausreise in einem Hotel. Seine Mutter und Geschwister sowie Onkel, Tanten und Cousinen leben in Burundi. Unter diesen Voraussetzungen wird es ihm möglich sein, sich mithilfe seiner Familienangehörigen in Burundi zu reintegrieren und mithilfe seiner Arbeitserfahrung eine neue Arbeit zu finden. Ferner kann ihm zugemutet werden, bei Bedarf bei seiner Mutter oder seinem Onkel unterzukommen, bis er seine persönliche Wohnsituation geregelt hat. Angesichts seines individuellen Profils erscheint es somit unwahrscheinlich, dass er bei seiner Rückkehr in eine existenzbedrohende Lage geraten würde.</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10.1 Bei diesem Ausgang des Verfahrens wären die Kosten dem unterliegenden Beschwerdeführer aufzuerlegen (Art. 63 Abs. 1 VwVG; Art. 1-3 des Reglements vom 21. Februar 2008 über die Kosten und Entschädigungen vor dem Bundesverwaltungsgericht [VGKE, SR 173.320.2]). Nachdem jedoch das mit der Beschwerde eingegangene Gesuch um Gewährung der unentgeltlichen Prozessführung mit Verfügung vom 6. Mai 2025 gutgeheissen wurde und weiterhin von der Bedürftigkeit des Beschwerdeführers auszugehen ist, sind keine Verfahrenskosten zu erheben.</w:t>
      </w:r>
    </w:p>
    <w:p>
      <w:r>
        <w:rPr>
          <w:b/>
        </w:rPr>
        <w:t>E. 10.2</w:t>
      </w:r>
    </w:p>
    <w:p>
      <w:r>
        <w:t>Mit Eingabe vom 30. Mai 2025 reichte die amtliche Rechtsbeiständin eine Kostennote in der Höhe von Fr. 3'415.- ein. Dabei ging sie von einem Aufwand von 13.5 Stunden und einem Stundenansatz von Fr. 250.- aus. Der zeitliche Aufwand erscheint angemessen. Hingegen ist bei nicht-anwaltlichen Vertreterinnen und Vertretern praxisgemäss von einem Stundenansatz von Fr. 100.- bis Fr. 150.- auszugehen. Der amtlichen Rechtsbeiständin ist ein Honorar von Fr. 2'232.-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