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D-3046/2010 vom 20. September 2011</w:t>
      </w:r>
    </w:p>
    <w:p>
      <w:r>
        <w:t>Bundesverwaltungsgericht, 2011-09-20, DE</w:t>
      </w:r>
    </w:p>
    <w:p>
      <w:r>
        <w:rPr>
          <w:b/>
        </w:rPr>
        <w:t xml:space="preserve">Quelle: </w:t>
      </w:r>
      <w:r>
        <w:t>https://mcp.opencaselaw.ch/entscheid/bvger_D-3046_2010</w:t>
      </w:r>
    </w:p>
    <w:p>
      <w:r>
        <w:t>FR: TAF D-3046/2010 du 20 septembre 2011</w:t>
      </w:r>
    </w:p>
    <w:p>
      <w:r>
        <w:t>IT: TAF D-3046/2010 del 20 settembre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Sachgebeit betreffende Ausnahme im Sinne von Art. 32 VGG liegt nicht.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Auf die frist- und formgerecht eingereichte Beschwerde ist deshalb - im Rahmen der nachfolgenden Erwägungen - einzutreten (Art. 108 Abs. 2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zur neuen Entscheidung an die Vorinstanz zurück (vgl. Entscheidungen und Mitteilungen der [vormaligen] Schweizerischen Asylrekurskommission [EMARK] 2004 Nr. 34 E. 2.1 S. 240 f.). Auf den Antrag in der Beschwerdeschrift um Gewährung des Asyls ist mithin nicht einzutreten. Indes hat die Vorinstanz die Frage der Wegweisung und des Vollzugs materiell geprüft,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S. 645).</w:t>
      </w:r>
    </w:p>
    <w:p>
      <w:r>
        <w:rPr>
          <w:b/>
        </w:rPr>
        <w:t>E. 4.1</w:t>
      </w:r>
    </w:p>
    <w:p>
      <w:r>
        <w:t>Auf Asylgesuche wird in der Regel nicht eingetreten, wenn Asylsuchende in einen Drittstaat ausreisen können, der für die Durchführung des Asyl- Wegweisungsverfahrens staatsvertraglich zuständig ist (Art. 34 Abs. 2 Bst. d AsylG).</w:t>
      </w:r>
    </w:p>
    <w:p>
      <w:r>
        <w:rPr>
          <w:b/>
        </w:rPr>
        <w:t>E. 4.2</w:t>
      </w:r>
    </w:p>
    <w:p>
      <w:r>
        <w:t>Vorliegend stehen der vorgängige Aufenthalt in Malta und die Zustimmung der maltesischen Behörden zur Rückübernahme des Beschwerdeführers aufgrund der Aktenlage fest. Die in der Schweiz geltend gemachten Asylgründe werden daher in Malta, das staatsvertraglich für das vorliegende Verfahren zuständig ist, zu prüfen sein. Der Einwand des Beschwerdeführers, Malta sei nicht zuständig, da er dort kein Asylgesuch eingereicht habe, greift nicht. Die Abfrage in der Eurodac-Datenbank hat die Registrierung der Asylgesuchseinreichung des Beschwerdeführers in Malta ergeben (vgl. A5). Die maltesischen Behörden haben der Rückübernahme des Beschwerdeführers denn auch am 5. Februar 2010 ausdrücklich zugestimmt (vgl. A16). Eine Rückführung des Beschwerdeführers von der Schweiz nach Italien steht damit nicht zur Diskussion, weshalb sich Ausführungen zur Situation Asylsuchender in Italien und zu der vom Beschwerdeführer geäusserten Furcht einer Abschiebung nach E._______ erübrigen.</w:t>
      </w:r>
    </w:p>
    <w:p>
      <w:r>
        <w:rPr>
          <w:b/>
        </w:rPr>
        <w:t>E. 4.3</w:t>
      </w:r>
    </w:p>
    <w:p>
      <w:r>
        <w:t>Auch die übrigen Einwände des Beschwerdeführers sprechen nicht gegen eine Rückführung nach Malta. Malta ist Signatarstaat der FK, der EMRK und des Übereinkommens vom 10. Dezember 1984 gegen Folter und andere grausame, unmenschliche oder erniedrigende Behandlung oder Strafe (FoK, SR 0.105) und es liegen keine konkreten Anhaltspunkte dafür vor, wonach Malta sich nicht an die daraus resultierenden völkerrechtlichen Verpflichtungen, insbesondere an das Rückschiebungsverbot, halten würde. Die Aufenthaltsbedingungen für Asylsuchende in Malta erscheinen zwar als teilweise verbesserungswürdig, führen aber nicht in genereller Weise zur Bejahung einer eigentlichen Notlage der Betroffenen. Der Beschwerdeführer ist jung und - soweit aktenkundig - gesund, und es besteht kein Grund zur generellen Annahme, nicht besonders verletzliche Personen wie der Beschwerdeführer, die sich im Rahmen eines Asylverfahrens in Malta aufhalten, würden aufgrund der dortigen Aufenthaltsbedingungen in eine existenzielle Notlage versetzt. Malta hat wie jeder Dublin-Staat die Verfahrens- und Aufnahmerichtlinien in Landesrecht umgesetzt, und es darf davon ausgegangen werden, dass der Beschwerdeführer dort grundsätzlich adäquate Betreuung und ein rechtsstaatlich konformes Asylverfahren findet. Mit allfälligen diesbezüglichen Klagen hat er sich an die zuständigen Behörden vor Ort zu wenden.</w:t>
      </w:r>
    </w:p>
    <w:p>
      <w:r>
        <w:rPr>
          <w:b/>
        </w:rPr>
        <w:t>E. 4.4</w:t>
      </w:r>
    </w:p>
    <w:p>
      <w:r>
        <w:t>Somit ist, entgegen der Beschwerdevorbringen, nicht davon auszugehen, das BFM hätte Veranlassung zu einem Selbsteintritt (Art. 3 Abs. 2 Dublin-II-VO) gehabt. Das BFM ist demnach zu Recht auf das Asylgesuch des Beschwerdeführers in Anwendung von Art. 34 Abs. 2 Bst. d AsylG nicht eingetreten.</w:t>
      </w:r>
    </w:p>
    <w:p>
      <w:r>
        <w:rPr>
          <w:b/>
        </w:rPr>
        <w:t>E. 5</w:t>
      </w:r>
    </w:p>
    <w:p>
      <w:r>
        <w:t>Die Anordnung der Wegweisung des Beschwerdeführers nach Malta entspricht der Systematik des Dublin-Verfahrens - bei dem es sich um ein Überstellungsverfahren in den für die Prüfung des Asylgesuchs zuständigen Staat handelt - und steht im Einklang mit der Bestimmung von Art. 44 Abs. 1 AsylG, wobei in Verfahren nach Art. 34 Abs. 2 Bst.d AsylG die Frage nach der Zulässigkeit und Möglichkeit des Wegweisungsvollzugs regelmässig bereits Voraussetzung (und nicht erst Regelfolge) des Nichteintretensentscheides ist, und hier nicht mehr zu prüfen ist. Auch die Frage der Zumutbarkeit des Wegweisungsvollzugs stellt sich in einem Dublin-Verfahren nicht unter dem Aspekt der vorläufigen Aufnahme gemäss Art. 83 Abs. 1 und 4 des Bundesgesetzes vom 16. Dezember 2005 über die Ausländerinnen und Ausländer (AuG, SR 142.20), sondern eine entsprechende Prüfung muss, soweit notwendig, bereits im Rahmen der Entscheidfindung hinsichtlich der Ausübung des Selbsteintrittsrechts stattfinden. Wie vorstehend aufgezeigt, besteht vorliegend kein Anlass zur Ausübung des Selbsteintrittsrechts gemäss Art. 3 Abs. 2 Dublin-II-VO, weshalb der vom BFM verfügte Vollzug der Wegweisung des Beschwerdeführers zu bestätigen ist. Schliesslich ist auf Art. 19 Abs. 3 (1. Ab­schnitt) Dublin-II-VO zu verweisen, wonach in Verfahren, wo auf Instruktionsebene die aufschiebende Wirkung der Beschwerde wiederhergestellt wird, die Anordnung einer solchen Massnahme die Rücküberführungsfrist unterbricht und diese wieder neu zu laufen beginnt, wenn die Massnahme - in casu mittels dem vorliegenden Urteil - aufgehoben wird (vgl. auch BVGE 2010/27 E. 7.2.1 S. 388).</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Die Beschwerde ist daher abzuweisen.</w:t>
      </w:r>
    </w:p>
    <w:p>
      <w:r>
        <w:rPr>
          <w:b/>
        </w:rPr>
        <w:t>E. 7</w:t>
      </w:r>
    </w:p>
    <w:p>
      <w:r>
        <w:t>Bei diesem Ausgang des Verfahrens wären dessen Kosten grundsätzlich dem Beschwerdeführer aufzuerlegen (Art. 63 Abs. 1 VwVG). Da die Beschwerde jedoch im Zeitpunkt ihrer Einreichung nicht als aussichtslos betrachtet werden konnte und die Bedürftigkeit des Beschwerdeführers belegt ist, sind in Gutheissung des Gesuchs um Gewährung der unentgeltlichen Rechtspflege gemäss Art. 65 Abs. 1 VwVG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