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D-303/2013 vom 28. November 2013</w:t>
      </w:r>
    </w:p>
    <w:p>
      <w:r>
        <w:t>Bundesverwaltungsgericht, 2013-11-28, DE</w:t>
      </w:r>
    </w:p>
    <w:p>
      <w:r>
        <w:rPr>
          <w:b/>
        </w:rPr>
        <w:t xml:space="preserve">Quelle: </w:t>
      </w:r>
      <w:r>
        <w:t>https://mcp.opencaselaw.ch/entscheid/bvger_D-303_2013</w:t>
      </w:r>
    </w:p>
    <w:p>
      <w:r>
        <w:t>FR: TAF D-303/2013 du 28 novembre 2013</w:t>
      </w:r>
    </w:p>
    <w:p>
      <w:r>
        <w:t>IT: TAF D-303/2013 del 28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Alfred Kölz/Isabelle Häner/Martin Bertschi, Verwaltungsverfahren und Verwaltungsrechtspflege des Bundes, Zürich 2013, 3. Aufl., Rz. 1136).</w:t>
      </w:r>
    </w:p>
    <w:p>
      <w:r>
        <w:rPr>
          <w:b/>
        </w:rPr>
        <w:t>E. 2.3</w:t>
      </w:r>
    </w:p>
    <w:p>
      <w:r>
        <w:t>Über offensichtlich begründete Beschwerde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3.1</w:t>
      </w:r>
    </w:p>
    <w:p>
      <w:r>
        <w:t>Die Vorinstanz ist in Verfahren, die Staatsangehörige Sri Lankas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21. Dezember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 Demnach ist die angefochtene Verfügung aufzuheben, die Sache zur voll­ständigen Sachverhaltsfeststellung und zu neuer Entscheidung an die Vorinstanz zurückzuweisen und die vorinstanzlichen Akten sowie das Beschwerdedossier, welches ebenfalls Prozessstoff des vorinstanzlichen Verfahrens bilden wird, werden dem BFM zugestellt.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das Gesuch um Gewährung der unentgeltlichen Rechtspflege im Sinne von Art. 65 Abs. 1 VwVG wird damit gegenstandslos.</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1'800.- (inkl. Auslagen und allfällige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