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D-3038/2017 vom 20. November 2017</w:t>
      </w:r>
    </w:p>
    <w:p>
      <w:r>
        <w:t>Bundesverwaltungsgericht, 2017-11-20, DE</w:t>
      </w:r>
    </w:p>
    <w:p>
      <w:r>
        <w:rPr>
          <w:b/>
        </w:rPr>
        <w:t xml:space="preserve">Quelle: </w:t>
      </w:r>
      <w:r>
        <w:t>https://mcp.opencaselaw.ch/entscheid/bvger_D-3038_2017</w:t>
      </w:r>
    </w:p>
    <w:p>
      <w:r>
        <w:t>FR: TAF D-3038/2017 du 20 novembre 2017</w:t>
      </w:r>
    </w:p>
    <w:p>
      <w:r>
        <w:t>IT: TAF D-3038/2017 del 20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der Erwägung 8,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im vorliegenden Verfahren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Verfolgung im Sinne des Asylgesetzes und der Flüchtlingskonvention [FK, SR 0.142.30]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[oder -unfähigkeit] des Staates) aber nur, wenn dieser die hinter einer Handlungsweise steckende Eigenart und Gesinnung der entsprechenden Person treffen will (BVGE 2014/28 E. 8.4.1)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3 AsylG an die Flüchtlingseigenschaft nicht genügend. Die Bedrohungssituation des Beschwerdeführers rühre daher, dass ihn die Taliban als Augenzeugen einer Autobombenmontage hätten beseitigen wollen. Damit beruhe das Verfolgungsmotiv nicht auf einem der in Art. 3 AsylG genannten Gründe; vielmehr werde er aus zufälligen Gründen von den Taliban bedroht. Aufgrund der fehlenden Asylrelevanz des Vorbringens könne darauf verzichtet werden, auf allfällige Unglaubhaftigkeitselemente in seinen Angaben einzugehen. Im Weiteren vermöge die Zugehörigkeit der Beschwerdeführenden zur Volksgruppe der Hazara respektive die vorgebrachten Probleme ihrer Ethnie in Afghanistan die Flüchtlingseigenschaft nicht zu begründen; gemäss Rechtsprechung seien in diesem Fall die hohen Anforderungen an die Annahme einer Kollektivverfolgung nicht erfüllt. Die diesbezüglich persönlich erlebten Nachteile des Beschwerdeführers - er sei als Hazara verachtet und ausgelacht worden - würden keine asylrechtlich geforderte Intensität aufweisen.</w:t>
      </w:r>
    </w:p>
    <w:p>
      <w:r>
        <w:rPr>
          <w:b/>
        </w:rPr>
        <w:t>E. 5.2</w:t>
      </w:r>
    </w:p>
    <w:p>
      <w:r>
        <w:t>In der Beschwerdeeingabe vom 27. Mai 2017 bekräftigt der Beschwerdeführer im Wesentlichen seine bereits dargelegte Bedrohungslage als Angehöriger der Hazara und Augenzeuge einer Autobombenmontage durch die Taliban.</w:t>
      </w:r>
    </w:p>
    <w:p>
      <w:r>
        <w:rPr>
          <w:b/>
        </w:rPr>
        <w:t>E. 5.3</w:t>
      </w:r>
    </w:p>
    <w:p>
      <w:r>
        <w:t>Anlässlich der Beschwerdeergänzung vom 18. August 2017 hält der Beschwerdeführer der vorinstanzlichen Argumentation im Wesentlichen entgegen, er habe den Taliban mit seiner ablehnenden Reaktion gegenüber der Autobombe auch seine Abneigung gegen ihre Gesinnung offenbart. Somit werde er von ihnen als ihr Gegner sowie als Unterstützer der Regierung und westlicher Mächte wahrgenommen und folglich in erster Linie aufgrund seiner politischen respektive religiösen Anschauung verfolgt. Dabei seien die ethnische Zugehörigkeit zu den Hazara sowie seine schiitische Glaubensrichtung als Elemente zu betrachten, welche seine Verfolgungsgefahr zusätzlich verstärken würden. Sein vorgebrachtes Risikoprofil vermöge daher eine asylrelevante Verfolgung zu begründen.</w:t>
      </w:r>
    </w:p>
    <w:p>
      <w:r>
        <w:rPr>
          <w:b/>
        </w:rPr>
        <w:t>E. 6.1</w:t>
      </w:r>
    </w:p>
    <w:p>
      <w:r>
        <w:t>Das SEM ist in seinen Erwägungen mit überzeugender Begründung zur zutreffenden Erkenntnis gelangt, die Verfolgungsvorbringen der Beschwerdeführenden würden den Anforderungen von Art. 3 AsylG an die Flüchtlingseigenschaft nicht genügen. Die betreffenden Ausführungen gemäss angefochtener Verfügung sind nicht zu beanstanden. Der Inhalt der Beschwerde führt zu keiner anderen Betrachtungsweise. Es ist der Vorinstanz insbesondere beizupflichten, dass die vom Beschwerdeführer dargelegte Bedrohungslage im Zusammenhang mit der Autobombe kein asylrechtlich relevantes Verfolgungsmotiv erkennen lässt. Aus seinen Ausführungen ist zu schliessen, dass die Taliban durch ihren Mordauftrag nicht eine Eigenart oder Gesinnung von ihm treffen, sondern vielmehr die Weitergabe von belastenden Informationen verhindern wollen. So habe ihm F._______ anlässlich dessen Hausbesuch mitgeteilt: "Nun weisst du davon auch. Dadurch bist du jetzt auch bedroht und in Gefahr." und "...leider kamst du unerwünscht vorbei und du hast es erfahren und gesehen und deshalb bist du jetzt auch in Gefahr, weil der Vorgesetzte von diesen Leuten hat mir befohlen, dass ich dich umbringe, weil du davon weisst und alles gesehen hast." (vgl. Akten der Vorinstanz A19 F 37). Die geltend gemachte Verfolgung richtet sich damit offenkundig nicht gegen sein Sein im Sinne der zitierten Rechtsprechung, sondern ausschliesslich gegen sein Mitwissen um kriminelle Machenschaften der Taliban und allfällige Folgen seines Tuns daraus. Seine Kenntnisnahme von den Vorbereitungshandlungen eines von den Taliban geplanten Anschlags respektive das entsprechende Wissen stellt kein mit seiner Person oder Persönlichkeit untrennbar verbundenes inneres Merkmal dar. Hinsichtlich seiner ethnischen Zugehörigkeit zu den Hazara, seiner schiitischen Glaubensrichtung oder seines in Anwesenheit der Taliban geäusserten Unmutes über die Autobombe ist zudem klarzustellen, dass sich aus den Protokollen nicht ergibt, diese Umstände hätten wesentlich zu seiner Bedrohungslage beigetragen. Vielmehr dürfte den Taliban bewusst gewesen sein, dass sie und ihre tödlichen Anschläge bei der afghanischen Bevölkerung allgemein und den Hazara im Speziellen nicht auf Wohlwollen stossen. Damit ist nicht anzunehmen, die Verfolgungssituation im Zusammenhang mit der Autobombe wäre aus einem der in Art. 3 AsylG genannten Motiven (mit)begründet worden. Ferner hat das Bundesverwaltungsgericht wiederholt festgestellt, dass die Hazara-Zugehörigkeit alleine noch kein Asylgrund im Sinne von Art. 3 AsylG darstellt (vgl. Urteile des BVGer E-5275/2017 vom 1. November 2017 E. 4, E-5075/2016 vom 4. Oktober 2016 E. 3.4 und D-4888/2016 vom 25. August 2016 E. 3.2.2). Nach dem Gesagten vermag sie dies entgegen der Beschwerde auch nicht im Verbund mit dem Umstand, dass der Beschwerdeführer zufällig Zeuge von kriminellen Machenschaften geworden ist. Im Übrigen ist anzumerken, dass das Bundesverwaltungsgericht gewisse Zweifel an der Glaubhaftigkeit der besagten Verfolgung hegt. Infolge fehlender Asylrelevanz kann aber darauf verzichtet werden, näher auf entsprechende Unglaubhaftigkeitselemente einzugehen.</w:t>
      </w:r>
    </w:p>
    <w:p>
      <w:r>
        <w:rPr>
          <w:b/>
        </w:rPr>
        <w:t>E. 6.2</w:t>
      </w:r>
    </w:p>
    <w:p>
      <w:r>
        <w:t>Aufgrund des Gesagten ist festzuhalten, dass das SEM das Bestehen einer asylrechtlich beachtlichen Verfolgungssituation der Beschwerdeführenden und mithin deren behauptete Flüchtlingseigenschaft zutreffend verneint sowie die Gesuche auf Gewährung von Asyl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Eine Verletzung von völkerrechtlichen Normen,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der Beschwerdeführenden in der Schweiz verfügt wurde, erübrigt sich eine Prüfung der Zulässigkeit des Wegweisungsvollzugs. Auf den entsprechenden Eventualantrag ist somit nicht einzutreten.</w:t>
      </w:r>
    </w:p>
    <w:p>
      <w:r>
        <w:rPr>
          <w:b/>
        </w:rPr>
        <w:t>E. 9</w:t>
      </w:r>
    </w:p>
    <w:p>
      <w:r>
        <w:t>Aus diesen Erwägungen ergibt sich, dass die angefochtene Verfügung Bundesrecht nicht verletzt und den rechtserheblichen Sachverhalt richtig sowie vollständig feststellt (Art. 106 Abs. 1 AsylG). Es erübrigt sich, auf den ärztlichen Bericht vom 22. Mai 2017 - aus dem sich nach der bereits gewährten vorläufigen Aufnahme nichts Zusätzliches ableiten lässt - und die Beschwerdevorbringen weiter einzugehen. Die Beschwerde ist abzuweisen, soweit darauf einzutreten ist.</w:t>
      </w:r>
    </w:p>
    <w:p>
      <w:r>
        <w:rPr>
          <w:b/>
        </w:rPr>
        <w:t>E. 10.1</w:t>
      </w:r>
    </w:p>
    <w:p>
      <w:r>
        <w:t>Bei diesem Ausgang des Verfahrens wären die Kosten den Beschwerdeführenden aufzuerlegen (Art. 63 Abs. 1 VwVG). Auf deren Erhebung ist jedoch angesichts der mit der Zwischenverfügung vom 13. Juni 2017 gewährten unentgeltlichen Rechtspflege zu verzichten.</w:t>
      </w:r>
    </w:p>
    <w:p>
      <w:r>
        <w:rPr>
          <w:b/>
        </w:rPr>
        <w:t>E. 10.2</w:t>
      </w:r>
    </w:p>
    <w:p>
      <w:r>
        <w:t>Mit derselben Zwischenverfügung wurde das Gesuch um amtliche Rechtsverbeiständung (Art. 110a Abs. 1 AsylG) gutgeheissen. Mit Zwischenverfügung vom 7. Juli 2017 ordnete der Instruktionsrichter den rubrizierten Rechtsvertreter als amtlichen Rechtsbeistand bei. Die Festsetzung des amtlichen Honorars erfolgt in Anwendung der Art. 8-11 sowie Art. 12 des Reglements vom 21. Februar 2008 über die Kosten und Entschädigungen vor dem Bundesverwaltungsgericht (VGKE, SR 173.320.2), wobei für anwaltliche Rechtsvertretungen praxisgemäss ein Stundenansatz von Fr. 200.- bis 220.- vorzusehen ist. Eine Aufstellung über die Aufwendungen des Rechtsvertreters liegt nicht vor; diese sind aber ohne Einholung einer solchen unschwer überblickbar. Unter Berücksichtigung der massgebenden Bemessungsfaktoren (Art. 9-13 VGKE) ist dem Rechtsvertreter vom Bundesverwaltungsgericht ein Honorar im Umfang von Fr. 1000.- (inkl. Auslagen und MwSt.)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