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D-3038/2010 vom 14. August 2012</w:t>
      </w:r>
    </w:p>
    <w:p>
      <w:r>
        <w:t>Bundesverwaltungsgericht, 2012-08-14, DE</w:t>
      </w:r>
    </w:p>
    <w:p>
      <w:r>
        <w:rPr>
          <w:b/>
        </w:rPr>
        <w:t xml:space="preserve">Quelle: </w:t>
      </w:r>
      <w:r>
        <w:t>https://mcp.opencaselaw.ch/entscheid/bvger_D-3038_2010</w:t>
      </w:r>
    </w:p>
    <w:p>
      <w:r>
        <w:t>FR: TAF D-3038/2010 du 14 août 2012</w:t>
      </w:r>
    </w:p>
    <w:p>
      <w:r>
        <w:t>IT: TAF D-3038/2010 del 14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Wie das BFM zutreffend festgestellt hat, vermögen die Vorbringen des Beschwerdeführers den Anforderungen an die Glaubhaftigkeit gemäss Art. 7 AsylG nicht standzuhalten.</w:t>
      </w:r>
    </w:p>
    <w:p>
      <w:r>
        <w:rPr>
          <w:b/>
        </w:rPr>
        <w:t>E. 4.2</w:t>
      </w:r>
    </w:p>
    <w:p>
      <w:r>
        <w:t>Mit dem BFM ist festzuhalten, dass der Beschwerdeführer anlässlich der Anhörung vom 1. Juli 2009 abweichend von seiner Aussage im Rahmen der Erstanhörung, bei der Festnahme sei seine Identitätskarte aus der Tasche gefallen und danach bei der Polizei geblieben (vgl. BFM-Protokoll A4 S. 3), angab, seine Identitätskarte sei zuhause geblieben und sein Onkel habe sie ihm danach aus Ghana zugestellt (vgl. A13 S. 3). Die Erklärung anlässlich der Anhörung, wonach er nicht daran gedacht gehabt habe, dass seine Identitätskarte zuhause geblieben sei und er andere Dokumente bei der Festnahme verloren habe (vgl. A13 S. 3) vermag nicht zu überzeugen. Auch die Entgegnung in der Beschwerde, wonach er bei der Erstanhörung davon ausgegangen sei, dass "seine gesamten Papiere beim Geschlagen werden durch die Polizei herausgefallen und bei der Polizei geblieben seien, später sich jedoch herausgestellt habe, dass seine Identitätskarte beim Hemdenwechseln in der Brusttasche des alten Hemdes geblieben sei" ist nicht geeignet, den festgestellten Widerspruch zu beseitigen. Im Weiteren sind die Ausführungen des Beschwerdeführers, wonach sich der Onkel in Togo knapp einer Festnah­me habe entziehen können, als er die Dokumente bei der Post habe aufgeben wollen und sich in der Folge mit diesen Dokumenten nach Ghana abgesetzt habe, auffallend konstruiert und realitätsfremd ausgefallen, ist doch wenig nachvollziehbar, dass die Angestellten der Poststelle namentliche Kenntnis vom Beschwerdeführer als gesuchte Person gehabt haben sollten. Die Erklärungsversuche des Beschwer­deführers anlässlich der Anhörung beziehungsweise in der Beschwer­de, wonach er überall auf Fahndungsplakaten namentlich als gesuchte Person aufgeführt gewesen sei, vermögen nicht zu über­zeu­gen, erscheint doch ein derartiges behördliches Verfolgungs­inter­esse aufgrund der verhältnismässig geringen Verfehlung des Be­schwer­de­führers als realitätsfremd. In diesem Zusammenhang ist mit dem BFM darauf hinzuweisen, dass es dem Beschwerdeführer nicht gelungen ist, die Gründe für seine Festnahme überzeugend darzustellen, gab er doch, obwohl angeblich davon überzeugt, aufgrund seiner öffentlich geäusserten kritischen Bemerkungen verhaftet worden zu sein (vgl. A13 S. 7), im Weiteren an, während seiner zehntägigen Haft seien ihm diese nie vorgehalten worden beziehungsweise habe keine Befragung hierzu stattgefunden (vgl. A13 S. 7). Mit der Entgegnung in der Beschwerde, wonach ihm die Polizisten unter Anwendung von Gewalt deutlich zu erkennen gegeben hätten, wegen seiner geäusserten Kritik misshandelt zu werden, vermag der Beschwerdeführer nicht plausibel zu erklären, weshalb er, obwohl sichtlicher Grund seiner Verhaftung, während der zehntägigen Haft nie zu seiner geäusserten Kritik befragt worden ist.</w:t>
      </w:r>
    </w:p>
    <w:p>
      <w:r>
        <w:rPr>
          <w:b/>
        </w:rPr>
        <w:t>E. 4.3</w:t>
      </w:r>
    </w:p>
    <w:p>
      <w:r>
        <w:t>Wie das BFM im Weiteren zutreffend ausgeführt hat, ist auch die Schilderung der Flucht aus dem Spital widersprüchlich und realitätsfremd ausgefallen. Zum einen gab der Beschwerdeführer abweichend von seiner Aussage anlässlich der Erstanhörung, wonach er das Spital in militäri­scher Sportbekleidung mühelos habe verlassen können (vgl. A4 S. 5), im Rahmen der Anhörung an, er sei mit dem genannten Sportanzug bekleidet über die Mauer des Spitals geklettert und so geflohen (vgl. A13 S. 9). Mit dem Hinweis auf ein mögliches Missverständnis bei der Übersetzung vermag dieser Widerspruch nicht beseitigt zu werden, gab der Beschwerdeführer doch unmissverständ­lich an, über die Mauer geklettert zu sein ("J'ai escaladé le mur"). Der nachträgliche Erklärungsversuch, er sei nicht etwa über die Mauer geklettert, sondern habe die Mauer "überwunden", indem er durch das für Fussgänger vorgesehene kleine Tor das Areal verlassen habe, vermag keineswegs zu überzeugen. Zum anderen erscheint es real­itätsfremd, dass der Beschwerdeführer derart mühelos bezieh­ungs­weise unbemerkt das Polizeispital hätte verlassen können. Schliesslich gab der Beschwerdeführer abweichend von der Aussage anlässlich der Erstanhörung, bei dem Spital habe es sich um ein Polizeispital gehan­delt, in dem sich nur Gefangene befunden hätten (vgl. A4 S. 5), im Rahmen der Anhörung an, er wisse nicht, ob die anderen Personen, denen er begegnet sei, Gefangene gewesen seien (vgl. A13 S. 8). Die Entgegnung in der Beschwerde, wonach er einfach von sich auf seine Mitpatienten geschlossen habe und aus diesem Grund wie selbstverständlich davon ausgegangen sei, dass es sich bei seinen Mitpatienten ebenfalls um hospitalisierte Häftlinge handle, vermag das widersprüchliche Aussageverhalten des Beschwerdeführers nicht überzeugend zu erklären.</w:t>
      </w:r>
    </w:p>
    <w:p>
      <w:r>
        <w:rPr>
          <w:b/>
        </w:rPr>
        <w:t>E. 4.4</w:t>
      </w:r>
    </w:p>
    <w:p>
      <w:r>
        <w:t>Im Weiteren ist die im Original eingereichte angebliche Vorladung vom 26. Dezember 2008 vor dem Hintergrund der Unglaubhaftigkeit der Vorbringen und aufgrund ihres fraglichen Inhalts als wenig beweistauglich zu erachten. Wie das BFM in der angefochtenen Verfügung zutreffend festhielt, gab der Beschwerdeführer an, diese Vorladung sei seiner Tante übergeben worden, während er sich in B._______ befunden habe, somit vor seiner im Juli 2008 erfolgten Ausreise. Indessen entspricht das auf dem Dokument aufgeführte Ausstellungsdatum einem viel späteren Zeitpunkt. Mit der nachträglichen Erklärung in der Beschwerde, er habe während der Anhörung etwas durcheinandergebracht, vermag diese Diskrepanz nicht beseitigt zu werden. Im Weiteren ist mit dem BFM festzustellen, dass die Vorgehensweise der Behörden, sich nach der Flucht des Beschwerdeführers sichtlich darauf zu beschränken, diesem eine Vorladung zuzustellen, realitätsfremd erscheint. Schliesslich ist der auf der Internetseite der UFC am 21. Juni 2009 publizierte Artikel der E._______ bereits mangels hinreichendem Sachzusammenhang zur Stützung der Vorbringen nicht geeignet.</w:t>
      </w:r>
    </w:p>
    <w:p>
      <w:r>
        <w:rPr>
          <w:b/>
        </w:rPr>
        <w:t>E. 4.5</w:t>
      </w:r>
    </w:p>
    <w:p>
      <w:r>
        <w:t>Zusammenfassend ist festzustellen, dass es dem Beschwerde­führer nicht gelungen ist, nachzuweisen oder zumindest glaubhaft zu machen, dass er in der Heimat ernsthafte Nachteile erlitten hat oder solche bei der Ausreise zu befürchten hatte beziehungsweise im Fall der Rückkehr nach Togo befürchten müsste.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Da es dem Beschwerdeführer nicht gelungen ist, eine asylrecht­lich er­hebliche Gefährdung nachzuweisen oder glaubhaft zu machen, kann das in Art. 5 AsylG verankerte Prinzip des flüchtlingsrechtlichen Non-Refoulement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Togo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Vorab ist festzustellen, dass angesichts der heutigen Lage in Togo nicht von einer Situation allgemeiner Gewalt oder von kriegerischen oder bürgerkriegsähnlichen Verhältnissen gesprochen werden kann, welche für den Beschwerdeführer bei einer Rückkehr eine konkrete Gefährdung darstellen würde (vgl. dazu BVGE 2009/2 E. 9.2.2). Auch aufgrund der persönlichen Situation des Beschwerde­führers sind keine Gründe ersichtlich, die gegen die Zumutbarkeit des Weg­wei­sungsvollzugs sprechen. Der - soweit den Akten zu entnehmen ist - gesunde Beschwerdeführer verfügt über eine gute Aus­bildung (Elek­tri­ker) sowie mehrjährige Berufserfahrung, weshalb anzuneh­men ist, er könne sich in seiner Heimat wieder wirtschaftlich inte­grieren. Gemäss seinen Angaben leben überdies seine Eltern und Geschwister nach wie vor in Togo. Vor diesem Hintergrund ist davon auszugehen, dass der Beschwerde­führer in seiner Heimat über ein soziales Bezie­hungs­netz verfügt, welches ihm eine Reintegration erleichtern kann. Blosse soziale und wirtschaf­tliche Schwierigkeiten, von denen die ansässige Bevölkerung im All­gemeinen betroffen ist, genügen nicht, um eine kon­krete Ge­fährdung im Sinne von Art. 83 Abs. 4 AuG darzustellen (vgl. die weiterhin zutreffende Praxis in Entscheidungen und Mitteilungen der Schwei­zerischen Asylrekurskommission [EMARK] 1996 Nr. 2 S. 12 f. und EMARK 2005 Nr. 24 E. 10.1 S. 215). Nach dem Gesagten ist der Vollzug der Wegweisung somit als zumutbar zu bezeichnen.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 dem Beschwerdeführer mit Zwischenverfügung vom 21. Mai 2010 die unentgeltliche Rechtspflege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