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D-3037/2016 vom 22. August 2016</w:t>
      </w:r>
    </w:p>
    <w:p>
      <w:r>
        <w:t>Bundesverwaltungsgericht, 2016-08-22, DE</w:t>
      </w:r>
    </w:p>
    <w:p>
      <w:r>
        <w:rPr>
          <w:b/>
        </w:rPr>
        <w:t xml:space="preserve">Quelle: </w:t>
      </w:r>
      <w:r>
        <w:t>https://mcp.opencaselaw.ch/entscheid/bvger_D-3037_2016</w:t>
      </w:r>
    </w:p>
    <w:p>
      <w:r>
        <w:t>FR: TAF D-3037/2016 du 22 août 2016</w:t>
      </w:r>
    </w:p>
    <w:p>
      <w:r>
        <w:t>IT: TAF D-3037/2016 del 22 agosto 2016</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Der Beschwerdeführer hat sich am vorinstanzlichen Verfahren beteiligt und ist als Adressat des angefochtenen Entscheides, mit welchem sein Berichtigungsgesuch abgewiesen wurde, sowohl formell als auch materiell beschwert, weshalb er zur Beschwerde legitimiert ist (vgl. Art. 48 Abs. 1 VwVG).</w:t>
      </w:r>
    </w:p>
    <w:p>
      <w:r>
        <w:rPr>
          <w:b/>
        </w:rPr>
        <w:t>E. 1.3</w:t>
      </w:r>
    </w:p>
    <w:p>
      <w:r>
        <w:t>Auf die im Übrigen frist- und formgerecht eingereichte Beschwerde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Bundesverwaltungsgerichts [BVGer] A 4256/2015 vom 15. Dezember 2015 E. 3.2 und A 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 4313/2015 vom 14. Dezember 2015 E. 3.2 und A 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 4256/2015 vom 15. Dezember 2015 E. 3.3, A 2291/2015 vom 17. August 2015 E. 4.3 und A 3555/2013 vom 26. März 2014 E. 3.3, je m.w.H.).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 4256/2015 vom 15. Dezember 2015 E. 3.3 und A 2291/2015 vom 17. August 2015 E. 7.1, je m.w.H.; vgl. ferner Urteile des BGer 6B_394/2009 vom 27. Juli 2009 E. 1.1 und 5A.3/2007 vom 27. Februar 2007 E. 2).</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 4256/2015 vom 15. Dezember 2015 E. 3.4, A 3555/2013 vom 26. März 2014 E. 3.4 und A 181/2013 vom 5. November 2013 E. 7.1, je m.w.H.; vgl. ferner Urteil des BGer 1C_240/2012 vom 13. August 2012 E. 3.2).</w:t>
      </w:r>
    </w:p>
    <w:p>
      <w:r>
        <w:rPr>
          <w:b/>
        </w:rPr>
        <w:t>E. 4.1</w:t>
      </w:r>
    </w:p>
    <w:p>
      <w:r>
        <w:t>Im vorliegenden Fall obliegt es demnach grundsätzlich der Vorinstanz zu beweisen, dass der aktuelle ZEMIS-Eintrag des Geburtsdatums des Beschwerdeführers korrekt ist. Dieser wiederum hat nachzuweisen, dass das von ihm geltend gemachte Geburtsdatum richtig bzw. zumindest wahrscheinlicher ist als die derzeit im ZEMIS erfasste Angabe, ihm mithin eine höhere Glaubwürdigkeit zukommt als dem bisherigen Eintrag (Urteile des BVGer A 4256/2015 vom 15. Dezember 2015 E. 4, A 4174/2013 vom 12. September 2013 E. 4.4 und A 3111/2012 vom 22. Januar 2013 E. 4). Gelingt keiner Partei der sichere Nachweis des Geburtsdatums, ist dasjenige im ZEMIS zu belassen oder einzutragen, dessen Richtigkeit wahrscheinlicher ist (vgl. vorstehend E. 3.4).</w:t>
      </w:r>
    </w:p>
    <w:p>
      <w:r>
        <w:rPr>
          <w:b/>
        </w:rPr>
        <w:t>E. 4.2</w:t>
      </w:r>
    </w:p>
    <w:p>
      <w:r>
        <w:t>Grundsätzlich hat der Beschwerdeführer im Asylverfahren die geltend gemachte Minderjährigkeit zu beweisen, soweit ihm ein Beweis möglich ist, und andernfalls wenigstens glaubhaft zu machen, da er die Beweislast für die behauptete Minderjährigkeit trägt, auch wenn das SEM die entscheidrelevanten Sachverhaltsmomente von Amtes wegen festzustellen hat (vgl. dazu Entscheidungen und Mitteilungen der Schweizerischen Asylrekurskommission [EMARK] 2004 Nr. 30 E. 5 ff.) Dass im Asylverfahren die Glaubhaftmachung der Minderjährigkeit einer unbegleiteten asylsuchenden Person genügt,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aus guten Gründen verlangt, dass die wahrscheinlichsten - also überwiegend wahrscheinlichen - Personendaten eingetragen werden. Immerhin ist in diesem Zusammenhang darauf hinzuweisen, dass sich die Frage des Alters einer im ZEMIS erfassten Person gerade auch für das ausländer- oder asylrechtliche Verfahren stellt (vgl. Urteil des BGer 1C_224/2014 vom 25. September 2014 E. 3.3; Urteile des BVGer A 4313/2015 vom 14. Dezember 2015 E. 5 und A 1732/2015 vom 13. Juli 2015 E. 5.3), weshalb sich ein ZEMIS-Eintrag auf dieses auswirken kann.</w:t>
      </w:r>
    </w:p>
    <w:p>
      <w:r>
        <w:rPr>
          <w:b/>
        </w:rPr>
        <w:t>E. 5.1</w:t>
      </w:r>
    </w:p>
    <w:p>
      <w:r>
        <w:t>Gemäss Art. 12 VwVG stellt die Behörde den Sachverhalt von Amtes wegen fest (Untersuchungsgrundsatz). Dabei muss sie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Betroffenen ihn gegebenenfalls sachgerecht anfechten können.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w:t>
      </w:r>
    </w:p>
    <w:p>
      <w:r>
        <w:rPr>
          <w:b/>
        </w:rPr>
        <w:t>E. 5.2</w:t>
      </w:r>
    </w:p>
    <w:p>
      <w:r>
        <w:t>Die Vorinstanz stufte den Beschwerdeführer entgegen seinen Angaben als volljährig ein und ordnete daher in Übereinstimmung mit Art. 17 Abs. 3bis AsylG eine Handknochenanalyse an. Diese ergab eine Abweichung von (...) Monaten im Vergleich zum geltend gemachten Alter. Gemäss EMARK 2001 Nr. 23 E. 4 wäre gestützt auf die damalige Rechtslage mithin ein Nichteintretensentscheid wegen Identitätstäuschung möglich gewesen, auch wenn die vom SEM eingeholte Handknochenanalyse beziehungsweise die vorliegend angewandte Methode nach Greulich/Pyle keine verlässlichen Aussagen zum tatsächlichen Alter zulässt und damit kein Beweis der Volljährigkeit erbracht werden kann (vgl. dazu EMARK 2000 Nr. 19 insbesondere E. 7 [Grundsatzentscheid, bestätigt u.a. in EMARK 2000 Nr. 28 E. 5a, 2001 Nr. 23 E. 4b und weiteren Entscheiden]). Nach dem Gesagten liegt mithin ein Beweismittel vor, welches zwar nicht zwingend die Volljährigkeit des Beschwerdeführers belegt, aber aufgrund des Unterschiedes zwischen Angaben und Untersuchungsergebnis von mehr als drei Jahren dessen Aussage als nicht wahrheitsgemäss erscheinen lässt.</w:t>
      </w:r>
    </w:p>
    <w:p>
      <w:r>
        <w:rPr>
          <w:b/>
        </w:rPr>
        <w:t>E. 5.3</w:t>
      </w:r>
    </w:p>
    <w:p>
      <w:r>
        <w:t>Das SEM hat im angefochtenen Entscheid dieses Beweismittel indes weder erwähnt noch gewürdigt. In seiner Begründung führt es einzig aus, aufgrund der Aussagen werde an der Volljährigkeit festgehalten und die Taskara vermöge daran nichts zu ändern, weil es kein rechtsgenügliches Dokument sei und das Alter bei Ausstellung nur geschätzt werde. In der Beschwerde wird zu Recht ausgeführt, dass die Argumentation "aufgrund der Aussagen werde an der Volljährigkeit festgehalten" jeglicher Logik entbehre, zumal der Beschwerdeführer immer wieder geltend gemacht hatte, er sei minderjährig. Diese offensichtlich zu knappe und mangelhafte Begründung der angefochtenen Verfügung machte eine sachgerechte Anfechtung des Entscheides unmöglich, was als schwerwiegende Gehörsverletzung zu qualifizieren ist. Zwar liefert das SEM in seiner Vernehmlassung die fehlende Begründung nach, weshalb sich die Frage der Heilung stellen könnte. In der Vernehmlassung wird jedoch zudem ausgeführt, auch das Ergebnis der LINGUA-Analyse spreche gegen die behauptete Minderjährigkeit. Das rechtliche Gehör zur Analyse werde nach Abschluss des vorliegenden Beschwerdeverfahrens gewährt. Eine solche Vorgehensweise ist wiederum als offensichtliche Gehörsverletzung zu qualifizieren, weshalb eine Heilung zum Vornherein ausser Betracht fällt.</w:t>
      </w:r>
    </w:p>
    <w:p>
      <w:r>
        <w:rPr>
          <w:b/>
        </w:rPr>
        <w:t>E. 5.4</w:t>
      </w:r>
    </w:p>
    <w:p>
      <w:r>
        <w:t>Zusammenfassend steht fest, dass das SEM die Begründungspflicht und damit den Anspruch des Beschwerdeführers auf rechtliches Gehör verletzt hat. Eine Verletzung des rechtlichen Gehörs führt grundsätzlich - das heisst ungeachtet der materiellen Auswirkungen - zur Aufhebung des da­raufhin ergangenen Entscheides. Die Heilung einer Gehörsverletzung aus prozessökonomischen Gründen auf Beschwerdeebene kommt vorliegend wie erwähnt nicht in Betracht.</w:t>
      </w:r>
    </w:p>
    <w:p>
      <w:r>
        <w:rPr>
          <w:b/>
        </w:rPr>
        <w:t>E. 6</w:t>
      </w:r>
    </w:p>
    <w:p>
      <w:r>
        <w:t>Die angefochtene Verfügung ist nach dem Gesagten aufzuheben und die Sache im Sinne der Erwägungen und in Gutheissung des impliziten Kassationsantrags an die Vorinstanz zurückzuwei­sen. Das SEM ist gehalten, ge­stützt auf den vollständig festgestellten rechtserheblichen Sachverhalt beziehungsweise unter Wahrung der Gehörsansprüche des Beschwerdeführers einen neuen Ent­scheid mit rechtsgenüglicher Begründung zu fällen. Ausserdem ist das Aktenverzeichnis nachzuführen. Bei dieser Sachlage kann mangels Relevanz davon abgesehen werden, auf weitere Beschwerdevorbringen näher einzugehen.</w:t>
      </w:r>
    </w:p>
    <w:p>
      <w:r>
        <w:rPr>
          <w:b/>
        </w:rPr>
        <w:t>E. 7.1</w:t>
      </w:r>
    </w:p>
    <w:p>
      <w:r>
        <w:t>Bei diesem Ausgang des Verfahrens sind keine Kosten zu erheben (Art. 63 Abs. 1 und 2 VwVG). Der geleistete Kostenvorschuss von Fr. 500.-wird rückerstattet.</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Gestützt auf die in Betracht zu ziehenden Bemessungsfaktoren (Art. 9-13 VGKE) sind dem Beschwerdeführer Fr. 1000.- (inkl. Auslagen und allfällige Mehrwertsteuer) als Parteientschädigung zuzusprechen. Dieser Betrag ist durch das SEM zu entrichten.</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