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D-3028/2018 vom 22. Februar 2021</w:t>
      </w:r>
    </w:p>
    <w:p>
      <w:r>
        <w:t>Bundesverwaltungsgericht, 2021-02-22, DE</w:t>
      </w:r>
    </w:p>
    <w:p>
      <w:r>
        <w:rPr>
          <w:b/>
        </w:rPr>
        <w:t xml:space="preserve">Quelle: </w:t>
      </w:r>
      <w:r>
        <w:t>https://mcp.opencaselaw.ch/entscheid/bvger_D-3028_2018</w:t>
      </w:r>
    </w:p>
    <w:p>
      <w:r>
        <w:t>FR: TAF D-3028/2018 du 22 février 2021</w:t>
      </w:r>
    </w:p>
    <w:p>
      <w:r>
        <w:t>IT: TAF D-3028/2018 del 22 febbraio 2021</w:t>
      </w:r>
    </w:p>
    <w:p>
      <w:pPr>
        <w:pStyle w:val="Heading2"/>
      </w:pPr>
      <w:r>
        <w:t>Regeste</w:t>
      </w:r>
    </w:p>
    <w:p>
      <w:r>
        <w:t>Asyl und Wegweisung</w:t>
      </w:r>
    </w:p>
    <w:p>
      <w:pPr>
        <w:pStyle w:val="Heading2"/>
      </w:pPr>
      <w:r>
        <w:t>Erwägungen</w:t>
      </w:r>
    </w:p>
    <w:p>
      <w:r>
        <w:rPr>
          <w:b/>
        </w:rPr>
        <w:t>E. 1.1</w:t>
      </w:r>
    </w:p>
    <w:p>
      <w:r>
        <w:t>Am 1. März 2019 ist die Änderung des AsylG vom 25. September 2015 abschliessend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Die Beschwerdeführenden sind als Verfügungsadressaten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Nachdem der Beschwerdeführerin mit Verfügung vom 20. November 2020 wiedererwägungsweise die Flüchtlingseigenschaft zuerkannt und der Beschwerdeführer in die Flüchtlingseigenschaft seiner Mutter einbezogen wurde, erweist sich die Beschwerde vom 24. Mai 2018 in diesem Punkt als gegenstandslos. Gegenstand des vorliegenden Verfahrens bildet demnach ausschliesslich die Frage der Asylgewährung und der Anordnung der Wegweisung als solcher.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w:t>
      </w:r>
    </w:p>
    <w:p>
      <w:r>
        <w:rPr>
          <w:b/>
        </w:rPr>
        <w:t>E. 4.2</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(Art. 3 Abs. 4 AsylG). Dementsprechend begründen subjektive Nachfluchtgründe zwar die Flüchtlingseigenschaft im Sinne von Art. 3 AsylG. Sie führen aber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4.3</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kam in der angefochtenen Verfügung zum Schluss, die von der Beschwerdeführerin geltend gemachten subjektiven Nachfluchtgründe würden den Anforderungen an die Flüchtlingseigenschaft gemäss Art. 3 AsylG nicht standhalten. Es lägen keine konkreten Anhaltspunkte vor, welche darauf hinweisen würden, dass die Türkei die Beschwerdeführerin mit erheblicher Wahrscheinlichkeit aus einem der in Art. 3 AsylG erwähnten Gründen verfolgen werde. Es sei zu bezweifeln, dass die Beschwerdeführerin den betreffenden Artikel selber verfasst habe. Es sei zwar unbestritten, dass gegen sie in der Türkei ein Strafverfahren eingeleitet worden sei. Da sie aber offensichtlich nicht die Autorin des besagten Artikels sei und sich bezeichnenderweise auch in der Schweiz politisch nicht exponiere, habe sie die Möglichkeit, in einer allfälligen Gerichtsverhandlung klarzustellen, dass es sich bei ihr nicht um die Autorin des fraglichen Artikels handle; sie verfüge denn auch offensichtlich über kein politisches Profil und es sei keine Schärfung desselben seit dem rechtskräftigen Abschluss des letzten Asylverfahrens ersichtlich.</w:t>
      </w:r>
    </w:p>
    <w:p>
      <w:r>
        <w:rPr>
          <w:b/>
        </w:rPr>
        <w:t>E. 5.2</w:t>
      </w:r>
    </w:p>
    <w:p>
      <w:r>
        <w:t>In ihrer Rechtsmitteleingabe wendeten die Beschwerdeführenden ein, die von der Vorinstanz geäusserten Zweifel an der Urheberschaft der Beschwerdeführerin am besagten Zeitungsartikel seien unbelegte Behauptungen, welche bestritten würden. Entscheidend sei vorliegend, dass die türkischen Strafverfolgungsbehörden ein entsprechendes Verfahren gegen die Beschwerdeführerin eingeleitet sowie Anklage erhoben hätten und mit der Vollstreckung des Haftbefehls zuwarteten, bis die entsprechende Anklage beurteilt werde. Seit dem Putschversuch im Sommer 2016 müsse die Unabhängigkeit der Justiz mehr als in Frage gestellt werden. Ferner handle es sich beim Vorwurf der Widerhandlung gegen das Terrorismusbekämpfungsgesetz um eine Frage der Staatsraison. Vor diesem Hintergrund sei eine Verurteilung der Beschwerdeführerin mit an Sicherheit grenzender Wahrscheinlichkeit zu erwarten. Sie werde daher bei einer Rückkehr in die Türkei ernsthaften Nachteilen im Sinne von Art. 3 Abs. 2 AsylG ausgesetzt und erfülle somit die Flüchtlingseigenschaft im Sinne von Art. 3 Abs. 1 AsylG. Im Sinne der Einheit der Familie sei der Beschwerdeführer in die Flüchtlingseigenschaft seiner Mutter einzubeziehen.</w:t>
      </w:r>
    </w:p>
    <w:p>
      <w:r>
        <w:rPr>
          <w:b/>
        </w:rPr>
        <w:t>E. 5.3</w:t>
      </w:r>
    </w:p>
    <w:p>
      <w:r>
        <w:t>In seiner Vernehmlassung hielt das SEM fest, die Beschwerdeschrift enthalte keine neuen erheblichen Tatsachen oder Beweismittel, welche eine Änderung des vorinstanzlichen Standpunktes rechtfertigen könnten. An dieser Einschätzung vermöchten weder das nachgereichte (Nennung Beweismittel) des (Nennung Gericht) noch das Schreiben des türkischen Anwaltes vom (...) etwas zu ändern, würden diese Unterlagen doch - wie auch die Beschwerde - keine neuen Fakten enthalten.</w:t>
      </w:r>
    </w:p>
    <w:p>
      <w:r>
        <w:rPr>
          <w:b/>
        </w:rPr>
        <w:t>E. 6.1</w:t>
      </w:r>
    </w:p>
    <w:p>
      <w:r>
        <w:t>Die Beschwerdeführerin beruft sich zur Begründung des am (...) eingereichten Mehrfachgesuchs darauf, dass am (...) - mithin (Nennung Dauer) nach ihrer Einreise in die Schweiz - ein von ihr verfasster Zeitungsartikel in einer türkischen Zeitung erschienen sei, aufgrund dessen die Behörden sie unter anderem wegen Propaganda für die terroristische Organisation E._______ angeklagt hätten. Damit macht sie ausschliesslich subjektive Nachfluchtgründe im Sinne der E. 4.2 oben geltend, da die geschilderte Gefährdungssituation erst durch ihr Verhalten nach ihrer Ausreise geschaffen wurde. Die Vorinstanz anerkannte in ihrem Entscheid vom 20. November 2020 das Bestehen von subjektiven Nachfluchtgründen bei der Beschwerdeführerin und sprach ihr wiedererwägungsweise die Flüchtlingseigenschaft zu. Da aber subjektive Nachfluchtgründe gemäss Art. 54 AsylG zum Ausschluss des Asyls führen, ist der von der Beschwerdeführerin gestellte Antrag um Gewährung von Asyl in der Schweiz abzuweisen.</w:t>
      </w:r>
    </w:p>
    <w:p>
      <w:r>
        <w:rPr>
          <w:b/>
        </w:rPr>
        <w:t>E. 6.2</w:t>
      </w:r>
    </w:p>
    <w:p>
      <w:r>
        <w:t>Der Asylantrag des Beschwerdeführers ist ebenfalls abzuweisen. Wie die Vorinstanz mit zutreffender Begründung festhielt, machte der Beschwerdeführer keine eigenen Asylgründe geltend. Im Schreiben vom 31. August 2017 halten die Beschwerdeführenden fest, dass dem Beschwerdeführer derzeit keine bekannten aktuellen Nachteile drohen würden (vgl. act. C15, S. 2) und in der Beschwerdeschrift wird hinsichtlich des Beschwerdeführers lediglich ausgeführt, dieser sei im Zeitpunkt der Einreise noch minderjährig gewesen und befinde sich aktuell in Ausbildung, was jedoch keinerlei Rückschlüsse auf eine aktuell bestehende oder zu befürchtende Gefährdung seiner Person im Falle einer Rückkehr in die Türkei zulässt.</w:t>
      </w:r>
    </w:p>
    <w:p>
      <w:r>
        <w:rPr>
          <w:b/>
        </w:rPr>
        <w:t>E. 6.3</w:t>
      </w:r>
    </w:p>
    <w:p>
      <w:r>
        <w:t>Zusammenfassend hat die Vorinstanz die Asylgesuche der Beschwerdeführenden zu Recht abgewiesen.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sie nicht gegenstandslos geworden ist.</w:t>
      </w:r>
    </w:p>
    <w:p>
      <w:r>
        <w:rPr>
          <w:b/>
        </w:rPr>
        <w:t>E. 9</w:t>
      </w:r>
    </w:p>
    <w:p>
      <w:r>
        <w:t>Bei diesem Ausgang des Verfahrens wären die Kosten den Beschwerdeführenden aufzuerlegen (Art. 63 Abs. 1 VwVG). Indessen wurde mit Zwischenverfügung vom 6. Juni 2018 das Gesuch um unentgeltliche Prozessführung gutgeheissen. Da die Beschwerdeführenden noch immer als bedürftig zu bezeichnen sind, ist vorliegend am Ergebnis der oben erwähnten Verfügung festzuhalten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