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D-3026/2010 vom 12. Januar 2012</w:t>
      </w:r>
    </w:p>
    <w:p>
      <w:r>
        <w:t>Bundesverwaltungsgericht, 2012-01-12, DE</w:t>
      </w:r>
    </w:p>
    <w:p>
      <w:r>
        <w:rPr>
          <w:b/>
        </w:rPr>
        <w:t xml:space="preserve">Quelle: </w:t>
      </w:r>
      <w:r>
        <w:t>https://mcp.opencaselaw.ch/entscheid/bvger_D-3026_2010</w:t>
      </w:r>
    </w:p>
    <w:p>
      <w:r>
        <w:t>FR: TAF D-3026/2010 du 12 janvier 2012</w:t>
      </w:r>
    </w:p>
    <w:p>
      <w:r>
        <w:t>IT: TAF D-3026/2010 del 12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1.5</w:t>
      </w:r>
    </w:p>
    <w:p>
      <w:r>
        <w:t>Das vorliegende Urteil ergeht aus sachlichen und prozessökonomischen Gründen gleichzeitig mit demjenigen des Bruders des Beschwerdeführers (B._______; [...]), der gegen den Entscheid des BFM vom 24. März 2010 beim Bundesverwaltungsgericht ebenfalls am 28. April 2010 eine Beschwerde einreichte (vgl. auch Bstn. C. und D. oben).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mache geltend, Unbekannte hätten ihn auf dem Schulweg belästigt und zur Zusammenarbeit aufgefordert. Diese hätten wegen seiner im Ausland lebenden Eltern Schweigegeld von ihm verlangt. Deshalb habe er die Schule nicht mehr besuchen können. Die vom Beschwerdeführer geltend gemachten Nach­teile seien von Drittpersonen ausgegangen. Dabei handle es sich um von Dritten verübte kriminelle Handlungen, welche nicht den Behörden angelastet werden könnten. Der Beschwerdeführer stamme aus Kabul. Die dortigen Behörden seien schutzfähig und schutzwillig, weshalb er die Möglichkeit besitze, sich an die Behörden zu wenden und dort um Schutz gegen die Behelligungen nachzusuchen. Aus seinen Angaben sei zu entnehmen, dass er es bisher unterlassen habe, eine Anzeige wegen der geltend gemachten Vorfälle bei den Behörden einzureichen. Deshalb könne nicht von mangelnder Schutzfähigkeit und fehlendem Schutzwillen gesprochen werden. Überdies seien die Behörden nicht in der Lage, einen allesumfassenden Schutz zu gewährleisten und jeden kriminellen Übergriff zu ahnden. Den Vorbringen des Beschwerdeführers komme daher keine Asylrelevanz zu.</w:t>
      </w:r>
    </w:p>
    <w:p>
      <w:r>
        <w:rPr>
          <w:b/>
        </w:rPr>
        <w:t>E. 3.2</w:t>
      </w:r>
    </w:p>
    <w:p>
      <w:r>
        <w:t>In seiner Beschwerdeschrift wendete der Beschwerdeführer demgegenüber im Wesentlichen ein, gemäss öffentlichen Quellen hätten Entführungen in seiner Heimat dramatisch zugenommen und sich zu einem Geschäft entwickelt. Dabei handle es sich nicht um Mitglieder der Taliban, sondern um kriminelle Banden ohne politischen Hintergrund. Die Opfer seien mehrheitlich wohlhabende Afghanen und die Polizei könne offenbar nicht in Anspruch genommen werden, da vermutet werde, dass die Geiselnehmer von korrupten Behördenvertretern gedeckt würden. Ausserdem werde die Aufarbeitung von Verbrechen Privater durch das duale Rechtssystem in Afghanistan, durch welches oftmals die Zuständigkeiten unklar blieben und Verfahren verschleppt oder gar nicht erst angegangen würden, gelähmt. Zahlreiche Berichte würden über die grassierende Korruption in seiner Heimat Zeugnis ablegen. Vor diesem Hintergrund werde verständlich, warum er keine Anzeige bei der Polizei eingereicht habe, und entsprechend würden seine diesbezüglichen Angaben - wie auch die entsprechenden Ausführungen seines Bruders - überzeugend wirken. Möglicherweise wäre bei einer Anzeigeerhebung mit massiven Repressalien seitens der Unbekannten zu rechnen gewesen. Die vorinstanzliche Einschätzung, wonach die afghanischen Behörden in Entführungsfällen sowohl schutzwillig als auch schutzfähig seien, sei daher zurückzuweisen. Folglich seien die von ihm geltend gemachten Fluchtgründe als asylrelevant zu beurteilen, zumal er - selbst wenn er es versucht hätte - gar keinen effektiven Zugang zu einer funktionierenden und effizienten Schutzinfrastruktur habe.</w:t>
      </w:r>
    </w:p>
    <w:p>
      <w:r>
        <w:rPr>
          <w:b/>
        </w:rPr>
        <w:t>E. 3.3</w:t>
      </w:r>
    </w:p>
    <w:p>
      <w:r>
        <w:t>In seiner Verfügung vom 24. Oktober 2011 hielt das Bundesverwaltungsgericht fest, in den Schilderungen des Beschwerdeführers zur vorgebrachten Verfolgungssituation bestünden diverse Ungereimtheiten. Zur näheren Begründung führte es dabei aus, dass der Beschwerdeführer im Rahmen der Erstbefragung mit keinem Wort erwähnt habe, dass er persönlich auf dem Weg zur Schule wiederholt von bewaffneten Personen angesprochen, unter Waffengewalt zum Einsteigen in einen Wagen gezwungen und darin zu einer Zusammenarbeit aufgefordert worden sei und man versucht habe, von ihm Geld zu erpressen, ansonsten man sie verraten werde, und er überdies beim zweiten Mal sogar geschlagen und mit einem Messer verletzt worden sei. Ferner habe er sich nicht an den genauen Zeitpunkt der Entführung seines Bruders zu erinnern vermocht, obwohl es sich auch bei diesem Vorfall um ein einschneidendes Erlebnis handle, welches erfahrungsgemäss besonders gut im Gedächtnis haften bleibe. Überdies bleibe nicht nachvollziehbar, weshalb man lediglich seinen Bruder, nicht aber auch ihn habe entführen wollen, zumal es den Aggressoren offensichtlich im Wesentlichen um den Erhalt von Lösegeld gegangen sei. Weiter habe er sich hinsichtlich der Umstände, des Grundes und des Zeitpunktes, ab wann er die Schule nicht mehr besucht habe, in Widersprüche verstrickt. So habe er bei der Erstbefragung angegeben, nach der versuchten zweiten Entführung seines Bruders, etwa zehn Tage vor der Ausreise, die Schule nicht mehr aufgesucht zu haben, um demgegenüber beim BFM auszusagen, etwa einen Monat vor seiner Ausreise, nachdem er von den Entführern im Auto bedroht und verletzt worden sei, nicht mehr zur Schule gegangen zu sein und das Haus nicht mehr verlassen zu haben.</w:t>
      </w:r>
    </w:p>
    <w:p>
      <w:r>
        <w:rPr>
          <w:b/>
        </w:rPr>
        <w:t>E. 3.4</w:t>
      </w:r>
    </w:p>
    <w:p>
      <w:r>
        <w:t>Der Beschwerdeführer brachte in seiner Stellungnahme vom 22. November 2011 im Wesentlichen vor, die Ungereimtheit, wonach die Übergriffe nicht bereits in der Erstbefragung angesprochen worden seien, könne lediglich so erklärt werden, dass er die Aufforderung, sich in der Befragung zur Person kurz zu halten und alle Details an der eigentlichen Anhörung vorbringen könne, zu ernst genommen und diese Übergriffe deshalb nicht erwähnt habe. Den Zeitpunkt der ersten Entführung seines Bruders habe er deshalb nicht präziser angeben können, weil exakte Daten in Afghanistan kulturbedingt unbedeutend seien. Immerhin habe er zu Protokoll geben können, dass die Probleme rund acht Monate vorher begonnen hätten. Dass er nicht auch wie sein Bruder Opfer von Entführungen geworden sei, hänge sodann damit zusammen, dass er sich die meiste Zeit zu Hause aufgehalten und so den Entführern wenig Gelegenheit geboten habe. Andernfalls hätte es ihn ebenso gut treffen können wie seinen Bruder. Für die letzte Ungereimtheit (Widersprüche hinsichtlich der Umstände, des Grundes und des Zeitpunktes des Schulbesuchs) könne lediglich (erneut) die Erklärung vorgebracht werden, dass er während der Befragung zur Person unter Zeitdruck gesetzt worden sei, weshalb er zu wenig überlegt habe. Jedenfalls seien seine Aussagen anlässlich der Anhörung zutreffend. Im Weiteren sei anzuführen, dass der in Kabul lebende Grossvater - namens H._______ - vor kurzem gestorben sei. Entsprechende Fax-Schreiben würden diesen Umstand belegen und die Original-Dokumente würden zum Beleg raschmöglichst nachgereicht. Da überdies die beiden früher in Kabul lebenden Tanten unterdessen Afghanistan ebenfalls verlassen hätten, lebe nur noch seine (...)-jährige Grossmutter in Kabul, wobei diese wegen ihrer schlechten Gesundheit in ärztlicher Behandlung sei. Es könne daher von einem in Kabul vorhandenen tragfähigen Beziehungsnetz im heutigen Zeitpunkt keine Rede mehr sein. Sodann werde ersucht, mit dem Urteil noch mindestens 30 Tage zuzuwarten, damit die entsprechenden Originalbelege rechtzeitig ins Recht gelegt werden könnten.</w:t>
      </w:r>
    </w:p>
    <w:p>
      <w:r>
        <w:rPr>
          <w:b/>
        </w:rPr>
        <w:t>E. 3.5</w:t>
      </w:r>
    </w:p>
    <w:p>
      <w:r>
        <w:t>Das Bundesverwaltungsgericht kommt vorliegend nach Würdigung der Akten und unter Berücksichtigung der in der Beschwerde und der in der Stellungnahme vom 22. November 2011 dargelegten Entgegnungen und der eingereichten Beweismittel zum Schluss, dass die in der angefochtenen Verfügung im Resultat getroffene Einschätzung der Vorinstanz, wonach der Beschwerdeführer die Flüchtlingseigenschaft nicht erfüllt, zu stützen ist.</w:t>
      </w:r>
    </w:p>
    <w:p>
      <w:r>
        <w:rPr>
          <w:b/>
        </w:rPr>
        <w:t>E. 3.5.1</w:t>
      </w:r>
    </w:p>
    <w:p>
      <w:r>
        <w:t>Die Schilderungen des Beschwerdeführers zur vorgebrachten Verfolgungssituation vermögen den Anforderungen von Art. 7 AsylG an die Glaubhaftigkeit insgesamt nicht zu genügen. Dem Beschwerdeführer wurden die verschiedenen Ungereimtheiten im Sachverhaltsvortrag mit Verfügung vom 24. Oktober 2011 zur Kenntnis gebracht und ihm dazu das rechtliche Gehör eingeräumt. Die Entgegnungen in seiner Stellungnahme vom 22. November 2011 vermögen die entstandenen Unstimmigkeiten insgesamt nicht zu entkräften. Bezüglich der Vorhalte, wonach die Übergriffe nicht bereits in der Erstbefragung angesprochen worden seien, und der Widersprüche hinsichtlich der Umstände, des Grundes und des Zeitpunktes seines Schulbesuchs entgegnet der Beschwerdeführer, dass er anlässlich der Befragung zur Person unter Zeitdruck gesetzt worden sei, weshalb er zu wenig überlegt habe, und man ihm auch gesagt habe, dass er alle Details seiner Asylvorbringen an der eigentlichen Anhörung vorbringen könne, weshalb es letztlich zu Ungereimtheiten in seinen Ausführungen gekommen sei. Diese Entgegnungen vermögen jedoch die entstandenen Unstimmigkeiten in seinem Sachverhaltsvortrag nicht plausibel aufzulösen. Zwar kommt dem Protokoll des Empfangszentrums angesichts des summarischen Charakters nur ein beschränkter Beweiswert zu. Widersprüche dürfen aber für die Beurteilung der Glaubhaftigkeit dann herangezogen werden, wenn klare Aussagen in der Empfangsstelle in wesentlichen Punkten der Asylbegründung von den späteren Aussagen in der Befragung beim Kanton oder beim BFM diametral abweichen, oder wenn bestimmte Ereignisse oder Befürchtungen, welche später als zentrale Asylgründe genannt werden, nicht bereits in der Empfangsstelle zumindest ansatzweise erwähnt werden (vgl. Entscheidungen und Mitteilungen der Schweizerischen Asylrekurskommission [EMARK] 1993 Nr. 3). Angesichts der wiederholten Nachfragen anlässlich der Befragung zur Person, ob der Beschwerdeführer alle Gründe für sein Asylgesuch genannt habe ("Ja."), respektive ob er sonst je mit irgendwelchen Personen irgendwie geartete Probleme gehabt habe ("Nein"), und der entsprechenden Antworten (vgl. act. A1/13, S. 6 f.), darf zu Recht auf erhebliche Widersprüche zu den Ausführungen beim BFM geschlossen werden, zumal sowohl der fragliche Vorfall als auch die Chronologie der Schulbesuche als wesentliche Sachverhaltselemente in der Asylbegründung erachtet werden müssen. Ferner vermag der Einwand, wonach er den Zeitpunkt der ersten Entführung seines Bruders deshalb nicht präziser habe angeben können, weil exakte Daten in Afghanistan kulturbedingt unbedeutend seien, angesichts des Umstandes, dass der Beschwerdeführer im Verlaufe der durchgeführten Befragungen durchaus in der Lage war, präzise Zeitangaben zu machen (vgl. act. A1/13, S. 8 f.; A15/14, S. 8), und er überdies eigenen Angaben zufolge über eine zwölfjährige Schulbildung verfügt, in keiner Weise zu überzeugen und ist als blosse Schutzbehauptung zu werten. Der Einwand, er sei deswegen nicht auch Opfer von Entführungen geworden, weil er sich die meiste Zeit zu Hause aufgehalten und so den Entführern wenig Gelegenheit geboten habe, bleibt unbehelflich, zumal er eigenen Angaben zufolge wiederholt von bewaffneten Personen auf dem Weg zur Schule oder zu einem Kurs angesprochen und belästigt worden sei (vgl. act. A15/14, S. 3), somit einige Möglichkeiten zu seiner Entführung durchaus vorhanden gewesen wären.</w:t>
      </w:r>
    </w:p>
    <w:p>
      <w:r>
        <w:rPr>
          <w:b/>
        </w:rPr>
        <w:t>E. 3.5.2</w:t>
      </w:r>
    </w:p>
    <w:p>
      <w:r>
        <w:t>Hinsichtlich der Asylrelevanz ist ergänzend zu bemerken, dass den Ausführungen des Beschwerdeführers keine Hinweise zu entnehmen sind, dass sich die gegen ihn und seinen Bruder gerichteten Geldforderungen auf einen in Art. 3 AsylG genannten Grund (Rasse, Religion, Nationalität, Zugehörigkeit zu einer bestimmten sozialen Gruppe, politische Anschauungen) stützen. Der Beschwerdeführer macht ausschliesslich Probleme seitens krimineller Dritter geltend (vgl. act. A15/14, S. 10), die ihn und seinen Bruder unter Androhung von Gewalt und durch wiederholte Belästigungen zur Zahlung von Lösegeld hätten erpressen wollen. Der Beschwerdeführer bringt daher keine Gründe vor, die im Sinne von Art. 3 AsylG als asylrelevant erachtet werden könnten. Bei dieser Sachlage kann offen bleiben, ob - wie vom BFM erwähnt - die Behörden in Kabul schutzwillig und schutzfähig sind.</w:t>
      </w:r>
    </w:p>
    <w:p>
      <w:r>
        <w:rPr>
          <w:b/>
        </w:rPr>
        <w:t>E. 3.6</w:t>
      </w:r>
    </w:p>
    <w:p>
      <w:r>
        <w:t>Nach dem Gesagten gelangt das Bundesverwaltungsgericht somit zum Schluss, dass die Vorbringen des Beschwerdeführers den Anforderungen von Art. 3 AsylG an die Flüchtlingseigenschaft nicht zu genügen vermögen. Das BFM hat demnach sein Asylgesuch zu Recht abgewiesen.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BVGE 2009/50 E. 9 S. 733,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insbesondere als unglaubhaft zu qualifizierenden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w:t>
      </w:r>
    </w:p>
    <w:p>
      <w:r>
        <w:rPr>
          <w:b/>
        </w:rPr>
        <w:t>E. 5.3.1</w:t>
      </w:r>
    </w:p>
    <w:p>
      <w:r>
        <w:t>Das Bundesverwaltungsgericht verfolgt die Entwicklung der Lage in Afghanistan kontinuierlich. Im zur Publikation vorgesehen Grundsatzurteil BVGE E-7625/2008 vom 16. Juni 2011 hat es eine aktuelle Einschätzung vorgenommen, gemäss welcher in weiten Teilen von Afghanistan - ausser allenfalls in den Grossstädten - eine derart prekäre Sicherheitslage und derart schwierige humanitäre Bedingungen bestehen, dass die Situation als existenzbedrohend im Sinne von Art. 83 Abs. 4 AuG zu qualifizieren ist. Von dieser allgemeinen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erachtet werden. Solche Umstände könnten grundsätzlich namentlich dann gegeben sein, wenn es sich, wie vorliegend, beim Rückkehrer um einen jungen, gesunden Mann handelt. Angesichts der konstanten Verschlechterung der Lage über die vergangenen Jahre hinweg und der auch in Kabul schwierigen Situation versteht es sich indessen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Rückkehrers als tragfähig erweist. Ohne Unterstützung durch Familie oder Bekannte würden die schwierigen Lebensverhältnisse auch in Kabul unweigerlich in eine lebensbedrohende Situation führen. Für einen Rückkehrer aus Europa besteht, aufgrund der Vermutung, dass er Devisen auf sich trägt, gleich nach seiner Ankunft in Kabul ein erhöhtes Risiko, entführt oder überfallen zu werden. Verfügt er auf der anderen Seite über keine genügenden finanziellen Mittel, hätte er ohne soziale Vernetzung kaum Aussicht auf eine zumutbare Unterkunft. Auch bei der Arbeitssuche ist die Anstellung selbst von unqualifizierten Arbeitskräften regelmässig von persönlichen Beziehungen abhängig. Eine die Gesundheit nur einigermassen garantierende Ernährung wäre ohne die Hilfe von nahe stehenden Personen ebenfalls kaum möglich, und der Zugang zu sauberem Trinkwasser schwierig; Unterstützungsmassnahmen der Regierung oder internationaler Organisationen können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5.3.2</w:t>
      </w:r>
    </w:p>
    <w:p>
      <w:r>
        <w:t>Gemäss eigenen Angaben lebte der (...)-jährige, soweit aktenkundig gesunde und ledige Beschwerdeführer seit seiner Geburt bis eine Woche vor seiner Ausreise, als er sich zusammen mit seinem Bruder bei einem Freund seines Grossvaters in E._______ aufgehalten habe, in Kabul, wobei er die letzten (...) Jahre vor der Ausreise bei seinen Grosseltern gelebt habe. Zudem lebten gemäss den Ausführungen im Empfangszentrum zwei Tanten väterlicherseits ebenfalls in Kabul (vgl. act. A1/13, S. 3). In seiner Stellungnahme vom 22. November 2011 bringt der Beschwerdeführer nun vor, sein Grossvater sei mittlerweile verstorben, die Grossmutter sei in ärztlicher Behandlung und die beiden Tanten hätten mittlerweile Afghanistan verlassen, weshalb er bei einer Rückkehr nach Kabul nicht mehr auf ein tragfähiges Beziehungsnetz zurückgreifen könne. Zum Beleg dieser Vorbringen reichte er ein Schreiben der Gemeinde sowie ein Schreiben von fünf Nachbarn ein, welche den Tod des Grossvaters bestätigen würden. Gleichzeitig stellte er eine noch einzureichende amtliche Todesbescheinigung in Aussicht. Diesbezüglich ist festzuhalten, dass durch die eingereichten Bestätigungen nicht erstellt ist, dass es sich bei der verstorbenen Person tatsächlich um den Grossvater des Beschwerdeführers handelt, zumal der darin aufgeführte Name vom Namen abweicht, der vom Beschwerdeführer anlässlich der Erstbefragung genannt wurde (vgl. act. A1/13, S. 3). Ausserdem liegen keine Belege vor, dass die zwei Tanten Afghanistan respektive Kabul tatsächlich verlassen hätten. Diesbezüglich erscheinen die Ausführungen auf Seite 2 der Stellungnahme vom 22. November 2011 widersprüchlich: beide Tanten sollen mittlerweile Afghanistan verlassen haben, aus der Klammerbemerkung ist jedoch zu schliessen, dass doch noch eine Tante in der Heimat des Beschwerdeführers lebe "(eine lebt in Afghanistan, die andere laut Angaben der Grossmutter höchstwahrscheinlich im Iran)". Doch selbst wenn vom Tod des Grossvaters ausgegangen würde und die beiden Tanten Afghanistan verlassen hätten, ist für den Beschwerdeführer weiterhin von einem tragfähigen Beziehungsnetz in Kabul auszugehen. So befindet sich die Grossmutter nach wie vor in Kabul und es ist anzunehmen, dass er nach seiner Rückkehr erneut bei dieser wohnen kann und sie ihn allenfalls bei der Suche nach einer Arbeitsstelle unterstützt. Alleine der Umstand, dass seine Grossmutter in ärztlicher Behandlung sei, vermag an dieser Einschätzung nichts zu ändern, zumal es ihr möglich war, dem Beschwerdeführer die eingereichten Beweismittel in die Schweiz zukommen zu lassen, und sie ihm weitere Beweismittel - die den Tod des Grossvaters offiziell bestätigen würden - in die Schweiz schicken will. Nach dem Dargelegten kann darauf verzichtet werden, die in der Stellungnahme vom 22. November 2011 in Aussicht gestellten Beweismittel zum angeführten Tod des Grossvaters abzuwarten (antizipierte Beweiswürdigung; Fritz Gygi, Bundesverwaltungsrechtspflege, 2. Aufl., Bern 1983, S. 274; BVGE 2008/24 E. 7.2, EMARK 2003 Nr. 13 S. 84).</w:t>
      </w:r>
    </w:p>
    <w:p>
      <w:r>
        <w:rPr>
          <w:b/>
        </w:rPr>
        <w:t>E. 5.3.3</w:t>
      </w:r>
    </w:p>
    <w:p>
      <w:r>
        <w:t>Im Weiteren verfügt er über eine zwölfjährige Schulbildung und Englischkenntnisse. Zudem wird das Beschwerdeverfahren seines Bruders B._______ mit Urteil gleichen Datums abgewiesen, so dass er die Rückkehr in seine Heimat nicht alleine zu bewerkstelligen hat und gegebenenfalls auch von diesem Unterstützung erhalten kann. Zwar leben seine Eltern und seine Schwester seit einigen Jahren in der Schweiz. Jedoch werden diese den Beschwerdeführer (zumindest finanziell) unterstützen, was denn auch bislang so gewesen sein dürfte: So glaubt er, dass sein Vater seinem Grossvater Geld geschickt habe (vgl. act. A1/13, S. 2 unten). Ausserdem verfügt er eigenen Angaben zufolge in I._______ über weitere Verwandte (vgl. act. A1/13, S. 3), deren Unterstützung er im Bedarfsfall mutmasslich erhalten könnte. Daher ist davon auszugehen, dass er nach seiner Rückkehr wieder bei seiner Grossmutter leben und sich auch beruflich integrieren kann. Es steht ihm zudem offen, beim BFM ein Gesuch um Rückkehrhilfe zu stellen; eine Ausrichtung derselben würde ihm den Wiedereinstieg in seine Heimat ebenfalls erleichtern (Art. 74 der Asylverordnung 2 vom 11. August 1999 über Finanzierungsfragen [AsylV 2, SR 142.312]).</w:t>
      </w:r>
    </w:p>
    <w:p>
      <w:r>
        <w:rPr>
          <w:b/>
        </w:rPr>
        <w:t>E. 5.4</w:t>
      </w:r>
    </w:p>
    <w:p>
      <w:r>
        <w:t>Nach Berücksichtigung aller wesentlicher Entscheidungselemente erweist sich der Vollzug der Wegweisung des Beschwerdeführers nach Kabul als zumutbar.</w:t>
      </w:r>
    </w:p>
    <w:p>
      <w:r>
        <w:rPr>
          <w:b/>
        </w:rPr>
        <w:t>E. 5.5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Insgesamt ist der durch die Vorinstanz verfügte Wegweisungsvollzug zu bestätigen. Die Vorinstanz hat den 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Mit Zwischenverfügung vom 11. Mai 2010 wurde die Behandlung des Gesuchs um Gewährung der unentgeltlichen Prozessführung im Sinne von Art. 65 Abs. 1 VwVG auf einen späteren Zeitpunkt verwiesen. 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125 II 265 E. 4b S. 275).</w:t>
      </w:r>
    </w:p>
    <w:p>
      <w:r>
        <w:rPr>
          <w:b/>
        </w:rPr>
        <w:t>E. 7.2</w:t>
      </w:r>
    </w:p>
    <w:p>
      <w:r>
        <w:t>Es ist von der Bedürftigkeit des Beschwerdeführers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