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D-3025/2014 vom 19. Januar 2015</w:t>
      </w:r>
    </w:p>
    <w:p>
      <w:r>
        <w:t>Bundesverwaltungsgericht, 2015-01-19, DE</w:t>
      </w:r>
    </w:p>
    <w:p>
      <w:r>
        <w:rPr>
          <w:b/>
        </w:rPr>
        <w:t xml:space="preserve">Quelle: </w:t>
      </w:r>
      <w:r>
        <w:t>https://mcp.opencaselaw.ch/entscheid/bvger_D-3025_2014</w:t>
      </w:r>
    </w:p>
    <w:p>
      <w:r>
        <w:t>FR: TAF D-3025/2014 du 19 janvier 2015</w:t>
      </w:r>
    </w:p>
    <w:p>
      <w:r>
        <w:t>IT: TAF D-3025/2014 del 19 gennaio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5.1</w:t>
      </w:r>
    </w:p>
    <w:p>
      <w:r>
        <w:t>Der angefochtene Entscheid des BFM wird den genannten Kriterien nicht in der erforderlichen Weise gerecht. Die Rügen des Beschwerdeführers betreffend Akteneinsicht haben sich zwar als unbegründet erwiesen (vgl. vorstehend Bst. I), und seinem Ersuchen um Ansetzung einer Frist zur Beschwerdeergänzung wurde vom Gericht nicht entsprochen. Die Behauptungen, das BFM habe in verschiedenster Weise die Begründungspflicht verletzt und den Sachverhalt nicht vollständig beziehungsweise richtig festgestellt, sind im Bewusstsein der Tatsache, dass sich die Vorinstanz grundsätzlich nicht mit sämtlichen Details der Vorbringen von Asylsuchenden argumentativ auseinandersetzen muss, zu würdigen (vgl. vorstehend E. 4). Vor diesem Hintergrund dürften gewisse Rügen unberechtigt sein, wobei es sich aus nachfolgenden Gründen erübrigt, auf sämtliche dieser Rügen näher einzugehen. So fällt auf, dass der Beschwerdeführer bereits bei der Summarbefragung angab, er sei auch durch die Freie Armee bedroht worden (A 9/13 S. 9). Im Verlauf der Anhörung schilderte er wiederholt seine Ängste vor dieser Gruppierung, durch welche er gesucht werde (A 27/18 Antworten 53, 54, 66, 95 ff. und 130). Das BFM hat im Sachverhalt der angefochtenen Verfügung dieses Verfolgungsszenarium in keiner Weise erwähnt. Auch im Erwägungsteil ging es darauf nicht rechtsgenüglich ein. Die Würdigung des eingereichten Schreibens der PYD, in welcher auch von der Verfolgung durch die Freie Armee die Rede ist, kann jedenfalls nicht als adäquate Auseinandersetzung mit zentralen Fluchtvorbringen angesehen werden. Vielmehr wäre die Vorinstanz gehalten gewesen, auf die erwähnten Protokollstellen Bezug zu nehmen und die Glaubhaftigkeit der entsprechenden Vorbringen explizit zu beurteilen.</w:t>
      </w:r>
    </w:p>
    <w:p>
      <w:r>
        <w:rPr>
          <w:b/>
        </w:rPr>
        <w:t>E. 5.2</w:t>
      </w:r>
    </w:p>
    <w:p>
      <w:r>
        <w:t>Ferner erwog das BFM, der Beschwerdeführer habe mit der befürchteten Entführung eine Bedrohung geltend gemacht, die jede wohlhabende Person in Syrien gleichermassen treffen könne. Es fehle somit an der Zielgerichtetheit der Verfolgung und damit an der Asylrelevanz (vgl. S. 3 der angefochtenen Verfügung). Aufgrund der gewählten Formulierungen geht aber nicht hervor, ob die Vor­instanz bei ihm ein solches Risiko überhaupt für glaubhaft erachtet. Bei einer Bejahung dieser Frage wäre zwar die asylrechtliche Verfolgungsmotivation unter Umständen nicht zwingend zu bejahen. Hingegen wäre ein solches Szenarium entgegen der vor­instanzlichen Sichtweise bei entsprechender Glaubhaftigkeit als gezielte Verfolgung zu qualifizieren und hätte zumindest einer ausführlicheren argumentativen Auseinandersetzung bedurft, welche indes unterblieben ist.</w:t>
      </w:r>
    </w:p>
    <w:p>
      <w:r>
        <w:rPr>
          <w:b/>
        </w:rPr>
        <w:t>E. 5.3</w:t>
      </w:r>
    </w:p>
    <w:p>
      <w:r>
        <w:t>Dem Beschwerdeführer ist sodann insofern Recht zu geben, als aus der angefochtenen Verfügung nicht genügend klar hervorgeht, welcher Sachverhalt für glaubhaft erachtet wurde und inwiefern den allenfalls glaubhaften Vorbringen die asylrechtliche Relevanz fehlt. So wird in der angefochtenen Verfügung ausgeführt, die Furcht vor Verfolgung sei nicht begründet, da der Beschwerdeführer noch mehrere Wochen in B._______ und C._______ verblieben sei. Die Behörden hätten ihn verhaften können, wenn sie dies angestrebt hätten und hätte sich der Beschwerdeführer in Gefahr gewähnt, wäre er sofort ausgereist. Unerwähnt bleibt dabei, dass er sich bei einem Freund versteckt gehalten habe (A 27/F 77, S. 10). Damit wird implizit die Glaubhaftigkeit der Bedrohungslage verneint, ohne jedoch auf die Vorbringen gesamthaft - insbesondere seine angebliche Rolle als Restaurantbetreiber und Immobilienbesitzer, die Vernetzung des Beschwerdeführers mit Flüchtlingen und der Opposition, die Verhaftung und Folter oder der Tod von befreundeten oder benachbarten Personen - in die Überlegungen miteinzubeziehen. Letzteres wäre jedoch angesichts der komplexen politischen Situation in Syrien unabdingbar, um die Bedrohungslage objektiv einschätzen zu können und damit Aussagen zur Frage der Begründetheit der Furcht vor Verfolgung machen zu können. Entsprechend verwirrlich wird denn auch in der Vernehmlassung ausgeführt, die vom Beschwerdeführer geltend gemachten Übergriffe auf Dritte seien glaubhaft, deren Gezieltheit sei jedoch verneint worden. Hierzu kann jedoch auf E.5.2 verwiesen werden: Bei konkreten Verfolgungsmassnahmen gegen Dritte kann allenfalls die Verfolgungsmotivation nicht asylrechtlich relevant sein, nicht aber deren Gezieltheit abgesprochen werden. Die Frage der Motivation der Übergriffe auf den befreundeten Kioskbesitzer und Nachbarn wird jedoch weder in der angefochtenen Verfügung noch in der Vernehmlassung aufgebracht, während der Beschwerdeführer in den Anhörungen mehrfach betonte, der Kioskbesitzer sei verhaftet, gefoltert und später getötet worden, weil dieser der Unterstützung der Opposition verdächtigt wurde. Wie denn das BFM in einem nächsten Satz zum Schluss kommen kann, die Furcht des Beschwerdeführers sei angesichts der Verfolgungsmassnahmen gegen ihm bekannte Drittpersonen zwar glaubhaft, jedoch nicht objektiv begründet, ist in diesem Sinne ebenfalls nicht nachvollziehbar. Damit ist die Anfechtung durch den Beschwerdeführer wie auch die entsprechende Überprüfung durch die Beschwerdeinstanz wesentlich erschwert beziehungsweise unmöglich, was als Verletzung des rechtlichen Gehörs zu qualifizieren ist.</w:t>
      </w:r>
    </w:p>
    <w:p>
      <w:r>
        <w:rPr>
          <w:b/>
        </w:rPr>
        <w:t>E. 5.4</w:t>
      </w:r>
    </w:p>
    <w:p>
      <w:r>
        <w:t>Schliesslich fällt auf, dass das BFM in pauschaler Weise festhält, die nicht in einer Amtssprache eingereichten Beweismittel seien unberücksichtigt geblieben. Dem Beschwerdeführer sei zu Beginn der Anhörung mitgeteilt worden, eine Würdigung der fremdsprachigen beziehungsweise unübersetzten Beweismittel werde unterbleiben (vgl. A 27/18 S. 2). Auch diese Vorgehensweise ist zu beanstanden. Zwar können von Asylsuchenden praxisgemäss Übersetzungen verlangt werden. Die Befragungsperson der Vorinstanz kam aber bei der Anhörung später auch auf fremdsprachige Beweismittel zurück und erwähnte unter anderem, ein eingereichter fremdsprachiger Brief sei vom Dolmetscher übersetzt worden (a.a.O. S. 13). Vor diesem Hintergrund durfte der Beschwerdeführer davon ausgehen, dass auch nicht in einer Amtssprache vorhandene Dokumente und Tonträger grundsätzlich berücksichtigt werden können. Jedenfalls hätte es in Berücksichtigung der konkreten Fallumstände beziehungsweise des rechtlichen Gehörs im Rahmen des erstinstanzlichen Verfahrens nahe gelegen, dem Beschwerdeführer explizit eine Frist zur Beibringung von Übersetzungen anzusetzen. Dies ist jedoch unterblieben.</w:t>
      </w:r>
    </w:p>
    <w:p>
      <w:r>
        <w:rPr>
          <w:b/>
        </w:rPr>
        <w:t>E. 5.5</w:t>
      </w:r>
    </w:p>
    <w:p>
      <w:r>
        <w:t>Diesen Erwägungen gemäss hat das BFM den rechtserheblichen Sachverhalt nicht hinreichend abgeklärt respektive festgestellt und die Begründungspflicht verletzt.</w:t>
      </w:r>
    </w:p>
    <w:p>
      <w:r>
        <w:rPr>
          <w:b/>
        </w:rPr>
        <w:t>E. 6.1</w:t>
      </w:r>
    </w:p>
    <w:p>
      <w:r>
        <w:t>Zusammenfassend ergibt sich, dass der angefochtene Entscheid un­ter Missachtung wesentlicher Gehörsansprüche des Beschwerdeführers zu­stande gekommen ist.</w:t>
      </w:r>
    </w:p>
    <w:p>
      <w:r>
        <w:rPr>
          <w:b/>
        </w:rPr>
        <w:t>E. 6.2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insbesondere auch deshalb nicht in Betracht, weil das BFM im Rahmen des Schriftenwechsels in keiner Weise auf die relevanten und zutreffenden Beschwerderügen eingegangen ist.</w:t>
      </w:r>
    </w:p>
    <w:p>
      <w:r>
        <w:rPr>
          <w:b/>
        </w:rPr>
        <w:t>E. 6.3</w:t>
      </w:r>
    </w:p>
    <w:p>
      <w:r>
        <w:t>Zur erforderlichen Neubeurteilung verbunden mit rechtsgenüglicher Begründung ist festzuhalten, dass im Zusammenhang mit den exilpolitischen Aktivitäten auch im Rahmen des Beschwerdeverfahrens zahlreiche weitere Beweismittel zu den Akten gereicht wurden, die es im Rahmen eines erneuten Entscheides zu berücksichtigen gilt.</w:t>
      </w:r>
    </w:p>
    <w:p>
      <w:r>
        <w:rPr>
          <w:b/>
        </w:rPr>
        <w:t>E. 7</w:t>
      </w:r>
    </w:p>
    <w:p>
      <w:r>
        <w:t>Die angefochtene Verfügung ist deshalb aufzuheben und die Sache im Sinne der Erwägungen und in Gutheissung des Kassationsantrags an die Vorinstanz zurückzuwei­sen. Das BFM ist gehalten, ge­stützt auf den vollständig festgestellten rechtserheblichen Sachverhalt einen neuen Ent­scheid mit rechtsgenüglicher Begründung zu fällen. Bei dieser Sachlage kann - vorbehältlich unterstehender Ausnahme - mangels Relevanz davon abgesehen werden, auf weitere Beschwerdevorbringen und -Anträge sowie die Beweismittel einzugehen.</w:t>
      </w:r>
    </w:p>
    <w:p>
      <w:r>
        <w:rPr>
          <w:b/>
        </w:rPr>
        <w:t>E. 8</w:t>
      </w:r>
    </w:p>
    <w:p>
      <w:r>
        <w:t>Da die Aufhebung der angefochtenen Verfügung zum Wegfall der Wegweisung an sich führt, kann die Ersatzmassnahme für die angeordnete Wegweisung nicht bestätigt werden. Somit besteht für eine formelle Feststellung der Rechtskraft der Unzumutbarkeit des Wegweisungsvollzugs keine rechtliche Grundlage, weshalb der entsprechende Beschwerdeantrag abzuweisen ist.</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hat für dieses Verfahren keine Kostennote zu den Akten gereicht. Auf die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2'800.- (inkl. Allfällige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