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D-3020/2022 vom 14. Juni 2022</w:t>
      </w:r>
    </w:p>
    <w:p>
      <w:r>
        <w:t>Bundesverwaltungsgericht, 2022-06-14, DE</w:t>
      </w:r>
    </w:p>
    <w:p>
      <w:r>
        <w:rPr>
          <w:b/>
        </w:rPr>
        <w:t xml:space="preserve">Quelle: </w:t>
      </w:r>
      <w:r>
        <w:t>https://mcp.opencaselaw.ch/entscheid/bvger_D-3020_2022_d20220614</w:t>
      </w:r>
    </w:p>
    <w:p>
      <w:r>
        <w:t>FR: TAF D-3020/2022 du 14 juin 2022</w:t>
      </w:r>
    </w:p>
    <w:p>
      <w:r>
        <w:t>IT: TAF D-3020/2022 del 14 giugno 2022</w:t>
      </w:r>
    </w:p>
    <w:p>
      <w:pPr>
        <w:pStyle w:val="Heading2"/>
      </w:pPr>
      <w:r>
        <w:t>Regeste</w:t>
      </w:r>
    </w:p>
    <w:p>
      <w:r>
        <w:t>Asyl und Wegweisung (beschleunigtes Verfahren) | Asyl und Wegweisung (beschleunigtes Verfahren); Verfügung des SEM vom 14.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w:t>
      </w:r>
    </w:p>
    <w:p>
      <w:r>
        <w:t>D-3020/2022 Seite 6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Vorab ist festzuhalten, dass in der Beschwerde nicht konkret ausgeführt wurde, inwiefern das SEM den Sachverhalt im Wegweisungsvollzugspunkt nicht vollständig erstellt haben soll. Angesichts der nachfolgenden Erwä- gungen – sowie der entsprechenden Ausführungen in der angefochtenen Verfügung – ist denn auch nicht ersichtlich, dass das SEM den rechtser- heblichen Sachverhalt (insb. auch in medizinischer Hinsicht) nicht hinrei- chend festgestellt hätte. Der Subeventualantrag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D-3020/2022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in der angefochtenen Verfügung zusammengefasst an, das Vorbringen der Beschwerdeführerin, wonach sie im Jugendalter von einem Nachbarn in C._______ (…) worden sei, sei flüchtlingsrechtlich nicht relevant, da keine anhaltende Verfolgungssituation vorliege. Ihre Vor- bringen, wonach sie nicht im Iran leben könne, weil sie den Islam hasse und es ihr insbesondere widerstrebe, den Hijab tragen zu müssen, würden sodann in den allgemeinen politischen und gesellschaftlichen Konventio- nen des Irans begründet liegen und stellten keine direkte Verfolgung ihrer Person dar. Aufgrund ihrer Aussagen sei ferner nicht ersichtlich, dass der psychische Druck in ihrem Fall ein Mass erreicht habe, das ihr den Verbleib im Heimatland verunmöglicht hätte. Sie sei auch während ihres Aufenthalts in der Ukraine immer wieder freiwillig in den Iran zurückgekehrt und habe sich demnach selbstgewählt in das Korsett der iranischen Gesellschaft be- geben. Aus objektiver Sicht scheine ihr ein menschenwürdiges Leben im Iran möglich und es liege keine Zwangslage vor, der sie sich ausschliess- lich durch eine Flucht ins Ausland habe entziehen können. Die von ihr genannten Zwischenfälle mit der Polizei (Auseinandersetzun- gen wegen ihrer ablehnenden Haltung gegenüber dem Islam und drei kurz- zeitige Festnahmen) dürften als gelöst und ohne Konsequenzen betrachtet werden. Zwar müsse angenommen werden, dass ihr Name deswegen den iranischen Behörden bekannt sei. Dennoch dürften diese Zwischenfälle als geringfügig bezeichnet werden, seien die Gründe für die Festnahmen nur gewesen, dass sie einmal keinen Hijab getragen habe, dass sie ein ande- res Mal mit einem Hund – namentlich einem (…) – unterwegs gewesen sei und dass sie beim dritten Mal einige ungehaltene Bemerkungen gegen die Regierung geäussert habe, weil sie mit ihrem damaligen Pass aus forma- len Gründen nicht habe ausreisen können. Sie habe sich danach zwar auch nicht an die gegen sie verfügte Ausreisesperre gehalten, weswegen das Haus ihrer Eltern enteignet worden sei. Dennoch sei sie in der Zwi- schenzeit mehrfach zwischen dem Iran und dem Irak hin- und hergereist und habe den Iran schliesslich in Richtung Ukraine definitiv verlassen. Bei</w:t>
      </w:r>
    </w:p>
    <w:p>
      <w:r>
        <w:t>D-3020/2022 Seite 8 diesen Ausreisen habe sie aber nicht geltend gemacht, dass es zu grösse- ren Zwischenfällen gekommen sei, weshalb keine Hinweise bestünden, dass sie aufgrund der gebrochenen Ausreisesperre weitere schwerwie- gende Probleme haben werde. Auch die Auseinandersetzung mit der Poli- zei am Rande einer Protestkundgebung sei inzwischen erledigt. Sie habe ohnehin nur wenige Male an solchen Protesten teilgenommen und habe auch nicht geltend gemacht, in irgendeiner Weise eine führende Funktion an den Kundgebungen oder in einer Organisation gehabt zu haben. Be- züglich ihren Beiträgen in den sozialen Medien habe sie keine konkreten Nachteile geltend gemacht. Somit sei ihr politisches Profil trotz der geltend gemachten Zwischenfälle als wenig exponiert zu bezeichnen, weshalb nicht davon auszugehen sei, dass die iranischen Behörden ein vertieftes Interesse an ihr hätten und sie bei einer Rückkehr in den Iran einer konkre- ten Gefährdung im Sinne von Art. 3 AsylG ausgesetzt wäre. Was schliesslich ihr Vorbringen betreffe, wonach sie Probleme mit ihrer re- ligiös ausgerichteten Familie gehabt habe, dürfe ihren Aussagen zufolge davon ausgegangen werden, dass sich der Konflikt mit ihren Verwandten (wegen ihres Lebensstils) auf verbale Äusserungen beschränkt habe und nicht weiter gegen sie vorgegangen worden sei. Ihre Befürchtung, dass man sie tatsächlich irgendwann töten könnte, habe sie ausschliesslich mit der Erfahrung anderer ihr unbekannter Frauen aus dem kurdischen Milieu im Iran begründet. Es sei jedoch nicht erkennbar, inwiefern deren Situation auf sie übertragen werden müsste. Auch sei nicht ersichtlich, inwiefern die Heirat mit einem Sunniten den Konflikt derart verschärft habe, dass sie un- mittelbar bedroht gewesen sei, zumal ihre entsprechenden Aussagen (zur Steigerung des Konflikts und zum Angriff auf ihren damaligen Ehemann) unglaubhaft ausgefallen seien. Die diesbezüglichen Vorwürfe gegen sie dürften sich im Übrigen relativieren, da sie inzwischen wieder geschieden sei. Sodann sei nicht erkennbar, dass sich die Situation mit ihren Verwand- ten in absehbarer Zukunft derart verändern sollte, dass eine konkrete Ver- folgung daraus resultieren würde. Sie werde zudem von ihren Eltern unter- stützt. Ihre Vorbringen würden somit entweder den Anforderungen an die Flücht- lingseigenschaft gemäss Art. 3 AsylG oder denjenigen an die Glaubhaf- tigkeit gemäss Art. 7 AsylG nicht standhalten.</w:t>
      </w:r>
    </w:p>
    <w:p>
      <w:r>
        <w:t>D-3020/2022 Seite 9</w:t>
      </w:r>
    </w:p>
    <w:p>
      <w:r>
        <w:rPr>
          <w:b/>
        </w:rPr>
        <w:t>E. 6.2</w:t>
      </w:r>
    </w:p>
    <w:p>
      <w:r>
        <w:t>In der Beschwerde wurden im Wesentlichen die Vorbringen der Be- schwerdeführerin wiederholt und generelle Ausführungen zur strengen, is- lamischen Gesellschaftsordnung (insb. auch in C._______) und zur Situa- tion von Frauen sowie Kurden und Atheisten im Iran gemacht.</w:t>
      </w:r>
    </w:p>
    <w:p>
      <w:r>
        <w:rPr>
          <w:b/>
        </w:rPr>
        <w:t>E. 7.1</w:t>
      </w:r>
    </w:p>
    <w:p>
      <w:r>
        <w:t>Nach Prüfung der Akten durch das Gericht sind die äusserst ausführli- chen Erwägungen der Vorinstanz (vgl. ergänzend zur obigen Zusammen- fassung die Ausführungen in der angefochtenen Verfügung [S. 4-9]) zu be- stätigen, weshalb zur Vermeidung von unnötigen Wiederholungen zu- nächst darauf verwiesen werden kann. Festzuhalten bleibt einzig, dass das Vorbringen der Beschwerdeführerin, wonach sie wegen ihren Kommenta- ren in den sozialen Medien ein paar Mal durch die FATA-Polizei gewarnt worden sei (vgl. Akten SEM 1135504-14/16 F95), nichts an den ansonsten zutreffenden vorinstanzlichen Erwägungen ändert.</w:t>
      </w:r>
    </w:p>
    <w:p>
      <w:r>
        <w:rPr>
          <w:b/>
        </w:rPr>
        <w:t>E. 7.2</w:t>
      </w:r>
    </w:p>
    <w:p>
      <w:r>
        <w:t>Es ist nicht ersichtlich, inwiefern die generellen Ausführungen in der Beschwerdeschrift zur islamischen Gesellschaftsordnung und zur Situation von Frauen und Atheisten im Iran sowie die Hinweise darauf, dass es sich bei der Beschwerdeführerin um eine moderne Frau handle, welche die rückständige und frauenfeindliche Form des Islams ablehne, geeignet sein sollten, eine Änderung der vorinstanzlichen Einschätzung zu bewirken. Je- denfalls vermögen die entsprechenden Beschwerdevorbringen weder eine konkrete Verfolgungssituation für die Beschwerdeführerin zu begründen, noch die ausführlichen Erwägungen des SEM bezüglich Verneinung eines unerträglichen psychischen Drucks zu widerlegen. Auch wenn sich die Beschwerdeführerin sodann jeweils "nur kurz" (und zweckgebunden) im Iran aufgehalten haben soll, hielt das SEM zu dieser bereits in der Stellungnahme zum Entscheidentwurf vorgebrachten Be- hauptung zu Recht fest, dass es die Rückreisen in den Iran dennoch offen- bar gegeben habe. Ergänzend respektive konkretisierend ist sodann fest- zuhalten, dass die Beschwerdeführerin gemäss ihren Aussagen nach ihrer Rückkehr aus der Ukraine im Jahr (…) über ein Jahr im Iran geblieben war (vgl. 1135504-14/16 F12 f.) und sie dennoch – wie bereits in der angefoch- tenen Verfügung festgehalten – keine derartige innere Zerrissenheit und derartige psychische Nöte zu beschreiben vermochte, die ihr einen Ver- bleib im Iran aus objektiver Sicht verunmöglicht hätten (vgl. etwa 1135504- 1/4 S. 2 f.; 1135504-14/16 F14, 39und 98; 1135504-24/10 F37 f.). Allein ihre Behauptung, dass sie den Iran trotz Ausreiseverbots und drohender</w:t>
      </w:r>
    </w:p>
    <w:p>
      <w:r>
        <w:t>D-3020/2022 Seite 10 Enteignung ihres Elternhauses verlassen habe, vermag derartige psychi- sche Nöte nicht aufzuzeigen, wobei am Wahrheitsgehalt dieses Vorbrin- gens ohnehin erhebliche Zweifel bestehen, zumal sie keine entsprechen- den Beweismittel zu den Akten reichte. Was die Beschwerdeführerin sodann aus den Beschwerdevorbringen be- züglich ihrer Angehörigkeit zur kurdischen Minderheit abzuleiten gedenkt, erschliesst sich dem Gericht nicht. Im Übrigen vermag die im Abklärungs- bericht vom 12. Juli 2022 diagnostizierte Posttraumatische Belastungsstö- rung, die unter anderem mit der (behaupteten) Bedrohung und Verfolgung durch die Onkel im Iran in Zusammenhang stehen soll, nichts an den ent- sprechenden Erwägungen des SEM (vgl. angefochtene Verfügung S. 7 f.) zu ändern.</w:t>
      </w:r>
    </w:p>
    <w:p>
      <w:r>
        <w:rPr>
          <w:b/>
        </w:rPr>
        <w:t>E. 7.3</w:t>
      </w:r>
    </w:p>
    <w:p>
      <w:r>
        <w:t>Nach dem Gesagten hat das SEM zu Recht die Flüchtlingseigenschaft der Beschwerdeführerin verneint und ihr Asylgesuch abgelehnt. Eine (ein- lässliche) Prüfung der Glaubhaftigkeit auch ihrer weiterer vom SEM nicht in Zweifel gezogenen Vorbringen erübrigt sich demzufolge.</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D-3020/2022 Seite 11</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Die Vorinstanz hat den Wegweisungsvollzug in der angefochtenen Verfügung zu Recht als zulässig erkannt. Zur Vermeidung von Wiederho- lungen kann hierzu auf die zu bestätigenden Ausführungen des SEM in der angefochtenen Verfügung verwiesen werden (vgl. ebenda E. III 1.), denen auf Beschwerdeebene nichts entgegengehalten wird.</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Im Iran herrscht weder Krieg oder Bürgerkrieg noch eine Situation allgemeiner Gewalt. Selbst unter Berücksichtigung der Umstände, dass die Staatsordnung als totalitär zu bezeichnen ist und die allgemeine Situation in verschiedener Hinsicht problematisch sein kann, ist der Vollzug der Weg- weisung in den Iran gemäss konstanter Praxis grundsätzlich als zumutbar zu erachten (vgl. statt vieler Urteile des BVGer D-3928/2020 vom 30. März 2021 E. 9.3.1 und E-1901/2018 vom 11. Februar 2021 E. 8.2).</w:t>
      </w:r>
    </w:p>
    <w:p>
      <w:r>
        <w:rPr>
          <w:b/>
        </w:rPr>
        <w:t>E. 9.3.3</w:t>
      </w:r>
    </w:p>
    <w:p>
      <w:r>
        <w:t>Das SEM kam in der angefochtenen Verfügung sodann zum Schluss, dass auch aus individueller Sicht keine Gründe gegen die Rückkehr der Beschwerdeführerin in den Heimatstaat sprechen würden. Es hielt dazu zunächst im Wesentlichen fest, dass die Beschwerdeführerin über eine so- lide Grundausbildung und ein fortgeschrittenes Studium in (…) verfüge. Sie habe ein gutes Verhältnis zu ihrer Kernfamilie und könne sowohl sozial als auch wirtschaftlich auf deren Unterstützung zählen. Auch wenn ihr Vater – wie in der Stellungnahme zum Entscheidentwurf vorgebracht – arbeitslos sein soll, wobei bezüglich der Glaubhaftigkeit dieses Vorbringens Beden- ken bestehen würden, dürfe angenommen werden, dass ihre Familie wirt- schaftlich gut genug aufgestellt sei, um sie bei einer Rückkehr kurzzeitig</w:t>
      </w:r>
    </w:p>
    <w:p>
      <w:r>
        <w:t>D-3020/2022 Seite 12 zu unterstützen. Angesichts der Berufskarriere ihres Vaters respektive des- sen Einsätzen an verschiedenen Orten (u.a. auch im Ausland) bestehe durchaus die Möglichkeit, dass er wieder Arbeit finde. Auch sie selber sei arbeitsfähig und dürfte nach einer kurzen Zeit der Reintegration und Neu- orientierung selber für sich sorgen können. Diese zutreffenden Erwägun- gen sind ohne Weiteres zu bestätigen, zumal ihnen in der Beschwerde- schrift nichts Konkretes entgegengehalten wird. Hinsichtlich der berufli- chen Reintegrationsmöglichkeiten der Beschwerdeführerin kann ergän- zend festgehalten werden, dass sie gemäss ihren Aussagen in der Ukraine und im Irak Arbeitserfahrungen (insb. in […] und als Assistentin in einer […]) sammeln konnte (vgl. 1135504-1/4 S. 2; 1135504-14/16 F26 f.) und sie offenbar mehrere Sprachen ([…]) beherrscht (vgl. Abklärungsbericht vom 12. Juli 2022 S. 1).</w:t>
      </w:r>
    </w:p>
    <w:p>
      <w:r>
        <w:rPr>
          <w:b/>
        </w:rPr>
        <w:t>E. 9.3.4</w:t>
      </w:r>
    </w:p>
    <w:p>
      <w:r>
        <w:t>Ferner ist auch nicht davon auszugehen, dass die Beschwerdeführe- rin bei einer Rückkehr in den Iran in eine medizinische Notlage geraten würde. Das SEM verwies diesbezüglich in der angefochtenen Verfügung zu Recht darauf, dass sie nicht an gesundheitlichen Problemen leide, wel- che im Iran nicht behandelbar wären. Dies gilt sowohl hinsichtlich ihrer (all- fällig noch bestehenden) körperlichen Beschwerden (vgl. insb. 1135504- 17/1, 1135504-18/2, 1135504-21/1, 1135504-22/2, 1135504-24/10 F40 ff.), als auch bezüglich ihrer nunmehr diagnostizierten Posttraumatischen Be- lastungsstörung. Das Beschwerdevorbringen, wonach von ihr benötigte(r) Stabilität, Schutz und professionelle psychologische Unterstützung im Iran nicht gewährleistet sei, zielt ins Leere. Ferner ist nicht davon auszugehen, dass aufgrund der Abklärungen durch die Neurologie, deren Befunde noch ausstehen (vgl. Abklärungsbericht vom 12. Juli 2022 S. 2 f.), eine Krank- heit diagnostiziert werden wird, die im Iran nicht adäquat behandelt werden könnte, zumal das dortige Gesundheitssystem generell ein relativ hohes Niveau aufweist (vgl. etwa Urteil des BVGer D-2452/2020 vom 11. Mai 2022 E. 8.3.4 m.w.H.). Allfällige (weitere) neurologische Abklärungen könnten sodann auch im Iran durchgeführt werden (vgl. Urteil des BVGer E-4620/2020 vom 15. Februar 2022 E. 9.4.1). Auch eine allfällige Suizida- lität (vgl. Abklärungsbericht vom 12. Juli 2022 S. 3 f.; vgl. im Übrigen: 1135504-17/1) vermag nach gefestigter Rechtsprechung einen Vollzug der Wegweisung nicht als unzumutbar erscheinen zu lassen. Einer solchen wäre bei einem zwangsweisen Wegweisungsvollzug im Rahmen der Voll- zugsmodalitäten Rechnung zu tragen.</w:t>
      </w:r>
    </w:p>
    <w:p>
      <w:r>
        <w:rPr>
          <w:b/>
        </w:rPr>
        <w:t>E. 9.3.5</w:t>
      </w:r>
    </w:p>
    <w:p>
      <w:r>
        <w:t>Nach dem Gesagten erweist sich der Vollzug der Wegweisung auch als zumutbar.</w:t>
      </w:r>
    </w:p>
    <w:p>
      <w:r>
        <w:t>D-3020/2022 Seite 13</w:t>
      </w:r>
    </w:p>
    <w:p>
      <w:r>
        <w:rPr>
          <w:b/>
        </w:rPr>
        <w:t>E. 9.4</w:t>
      </w:r>
    </w:p>
    <w:p>
      <w:r>
        <w:t>Schliesslich verfügt die Beschwerdeführerin über einen gültigen Reise- pass, weshalb der Vollzug der Wegweisung auch als möglich zu bezeich- nen ist (Art. 83 Abs. 2 AuG).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mit der Beschwerde gestellte Gesuch um Gewährung der unent- geltlichen Prozessführung ist abzuweisen, da die Begehren – wie sich aus den vorstehenden Erwägungen ergibt – als aussichtslos zu bezeichnen waren, weshalb die kumulativen Voraussetzungen von Art. 65 Abs. 1 VwVG nicht erfüllt sind.</w:t>
      </w:r>
    </w:p>
    <w:p>
      <w:r>
        <w:rPr>
          <w:b/>
        </w:rPr>
        <w:t>E. 11.2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D-3020/2022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