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D-3019/2021 vom 28. Mai 2021</w:t>
      </w:r>
    </w:p>
    <w:p>
      <w:r>
        <w:t>Bundesverwaltungsgericht, 2021-05-28, DE</w:t>
      </w:r>
    </w:p>
    <w:p>
      <w:r>
        <w:rPr>
          <w:b/>
        </w:rPr>
        <w:t xml:space="preserve">Quelle: </w:t>
      </w:r>
      <w:r>
        <w:t>https://mcp.opencaselaw.ch/entscheid/bvger_D-3019_2021_d20210528</w:t>
      </w:r>
    </w:p>
    <w:p>
      <w:r>
        <w:t>FR: TAF D-3019/2021 du 28 mai 2021</w:t>
      </w:r>
    </w:p>
    <w:p>
      <w:r>
        <w:t>IT: TAF D-3019/2021 del 28 maggio 2021</w:t>
      </w:r>
    </w:p>
    <w:p>
      <w:pPr>
        <w:pStyle w:val="Heading2"/>
      </w:pPr>
      <w:r>
        <w:t>Regeste</w:t>
      </w:r>
    </w:p>
    <w:p>
      <w:r>
        <w:t>Asyl und Wegweisung (Mehrfachgesuch) | Asyl und Wegweisung (Mehrfachgesuch); Verfügung des SEM vom 28.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D-3019/2021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Vorliegend stellt sich die Frage, ob die Vorinstanz zu Recht auf das neue Asylgesuch des Beschwerdeführers teilweise nicht eingetreten ist. Die Beschwerdeinstanz enthält sich – sofern sie den Nichteintretensent- scheid als unrechtmässig erachtet – einer selbständigen materiellen Prü- fung; sie hebt die angefochtene Verfügung auf und weist die Sache zu neuer Entscheidung an die Vorinstanz zurück (vgl. BVGE 2007/8 E. 2.1 m.w.H.).</w:t>
      </w:r>
    </w:p>
    <w:p>
      <w:r>
        <w:rPr>
          <w:b/>
        </w:rPr>
        <w:t>E. 3.2</w:t>
      </w:r>
    </w:p>
    <w:p>
      <w:r>
        <w:t>Kommt eine asylsuchende Person ihrer Pflicht zur ausreichenden Be- gründung eines Mehrfachgesuchs nicht nach, kann das SEM darauf ge- stützt auf Art. 13 Abs. 2 VwVG in Verbindung mit Art. 111c Abs. 1 AsylG nicht eintreten (vgl. BVGE 2014/39 E. 7.1). Eine Begründung ist dann hin- reichend, wenn sie das SEM in die Lage versetzt, auch ohne Anhörung über das Gesuch zu entscheiden. Werden im Mehrfachgesuch die neuen Gründe nicht ausführlich genug dargelegt, hat das SEM der asylsuchenden Person allenfalls die Möglichkeit zur Ergänzung ihres Gesuchs zu gewäh- ren (vgl. BVGE 2014/39 E. 5.5).</w:t>
      </w:r>
    </w:p>
    <w:p>
      <w:r>
        <w:rPr>
          <w:b/>
        </w:rPr>
        <w:t>E. 3.3</w:t>
      </w:r>
    </w:p>
    <w:p>
      <w:r>
        <w:t>Die Beschwerdeführerin hat in ihrem Mehrfachgesuch das gegen sie eingeleitete Strafverfahren substanziiert dargelegt und ihre Ausführungen mit einem – wenn auch schwer leserlichen – Ausdruck eines Screenshots sowie einer Bestätigung eines türkischen Anwalts untermauert. Damit ist sie ihrer Pflicht zur Begründung ihres Gesuchs hinreichend nachgekom- men. Zumindest wäre das SEM vor diesem Hintergrund gehalten gewesen,</w:t>
      </w:r>
    </w:p>
    <w:p>
      <w:r>
        <w:t>D-3019/2021 Seite 7 die Beschwerdeführerin auf die ihres Erachtens unzureichende Leserlich- keit sowie die Vorbehalte betreffend den Anwalt hinzuweisen und der Be- schwerdeführerin die Gelegenheit zur Ergänzung ihrer Eingabe respektive Nachreichung weiterer Beweismittel zu bieten. Das SEM ist folglich zu Unrecht auf Teile des Mehrfachgesuchs nicht ein- getreten.</w:t>
      </w:r>
    </w:p>
    <w:p>
      <w:r>
        <w:rPr>
          <w:b/>
        </w:rPr>
        <w:t>E. 3.4</w:t>
      </w:r>
    </w:p>
    <w:p>
      <w:r>
        <w:t>Die Beschwerde ist daher gutzuheissen, soweit die Aufhebung der an- gefochtenen Verfügung beantragt wurde. Die Verfügung vom 28. Mai 2021 ist aufzuheben. Das SEM ist anzuweisen, auf das Mehrfachgesuch auch hinsichtlich der Vorbringen betreffend das türkische Strafverfahren einzu- treten.</w:t>
      </w:r>
    </w:p>
    <w:p>
      <w:r>
        <w:rPr>
          <w:b/>
        </w:rPr>
        <w:t>E. 4</w:t>
      </w:r>
    </w:p>
    <w:p>
      <w:r>
        <w:t>Bei diesem Ausgang des Verfahrens sind keine Kosten zu erheben (Art. 63 Abs. 1 und 2 VwVG).</w:t>
      </w:r>
    </w:p>
    <w:p>
      <w:r>
        <w:rPr>
          <w:b/>
        </w:rPr>
        <w:t>E. 5</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 VGKE). Gestützt auf die in Betracht zu ziehenden Bemessungsfaktoren (Art. 9–13 VGKE) ist der Beschwerdeführerin zulasten der Vorinstanz eine Parteientschädigung von insgesamt Fr. 2'400.– zuzusprechen.</w:t>
      </w:r>
    </w:p>
    <w:p>
      <w:r>
        <w:t>(Dispositiv nächste Seite)</w:t>
      </w:r>
    </w:p>
    <w:p>
      <w:r>
        <w:t>D-3019/2021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