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D-3019/2014 vom 27. August 2014</w:t>
      </w:r>
    </w:p>
    <w:p>
      <w:r>
        <w:t>Bundesverwaltungsgericht, 2014-08-27, DE</w:t>
      </w:r>
    </w:p>
    <w:p>
      <w:r>
        <w:rPr>
          <w:b/>
        </w:rPr>
        <w:t xml:space="preserve">Quelle: </w:t>
      </w:r>
      <w:r>
        <w:t>https://mcp.opencaselaw.ch/entscheid/bvger_D-3019_2014</w:t>
      </w:r>
    </w:p>
    <w:p>
      <w:r>
        <w:t>FR: TAF D-3019/2014 du 27 août 2014</w:t>
      </w:r>
    </w:p>
    <w:p>
      <w:r>
        <w:t>IT: TAF D-3019/2014 del 27 agosto 2014</w:t>
      </w:r>
    </w:p>
    <w:p>
      <w:pPr>
        <w:pStyle w:val="Heading2"/>
      </w:pPr>
      <w:r>
        <w:t>Regeste</w:t>
      </w:r>
    </w:p>
    <w:p>
      <w:r>
        <w:t>Formlose Abschreibung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gutgeheissen, soweit die Aufhebung der angefochtenen Verfügungen beantragt worden ist.</w:t>
      </w:r>
    </w:p>
    <w:p>
      <w:r>
        <w:rPr>
          <w:b/>
        </w:rPr>
        <w:t>E. 2</w:t>
      </w:r>
    </w:p>
    <w:p>
      <w:r>
        <w:t>Die Verfügungen des BFM vom 15. Mai 2014 und 22. Mai 2014 werden aufgehoben. Die Akten werden zum neuen Entscheid im Sinne der Erwägungen an die Vorinstanz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der Beschwerdeführerin für die beiden Verfahren vor dem Bundesverwaltungsgericht eine Parteientschädigung von Fr. 1200.- (inkl. Auslagen und MWSt) auszurichten.</w:t>
      </w:r>
    </w:p>
    <w:p>
      <w:r>
        <w:rPr>
          <w:b/>
        </w:rPr>
        <w:t>E. 5</w:t>
      </w:r>
    </w:p>
    <w:p>
      <w:r>
        <w:t>Dieses Urteil geht an die Beschwerdeführerin, das BFM und die kantonale Migrationsbehörde. Die vorsitzende 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