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D-3012/2015 vom 4. April 2017</w:t>
      </w:r>
    </w:p>
    <w:p>
      <w:r>
        <w:t>Bundesverwaltungsgericht, 2017-04-04, DE</w:t>
      </w:r>
    </w:p>
    <w:p>
      <w:r>
        <w:rPr>
          <w:b/>
        </w:rPr>
        <w:t xml:space="preserve">Quelle: </w:t>
      </w:r>
      <w:r>
        <w:t>https://mcp.opencaselaw.ch/entscheid/bvger_D-3012_2015</w:t>
      </w:r>
    </w:p>
    <w:p>
      <w:r>
        <w:t>FR: TAF D-3012/2015 du 4 avril 2017</w:t>
      </w:r>
    </w:p>
    <w:p>
      <w:r>
        <w:t>IT: TAF D-3012/2015 del 4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Die am (...) geborene Tochter B._______ wird in das Beschwerdeverfahren einbezogen.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2015/3 E. 6.5.1, m.w.H.).</w:t>
      </w:r>
    </w:p>
    <w:p>
      <w:r>
        <w:rPr>
          <w:b/>
        </w:rPr>
        <w:t>E. 4.1</w:t>
      </w:r>
    </w:p>
    <w:p>
      <w:r>
        <w:t>Das SEM hat die Glaubhaftigkeit der Vorbringen der Beschwerdeführerin verneint. Diese Sichtweise ist zu teilen. Die Vorinstanz hat in ausführlichen Erwägungen aufgezeigt, dass die angebliche Desertion der Beschwerdeführerin in der geltend gemachten Form nicht glaubhaft wirkt. Auf die entsprechenden Erwägungen kann vorab verwiesen werden. Es ist nochmals hervorzuheben, dass die angeblich ergangenen militärstrafrechtlichen Massnahmen von ihr im Rahmen der BzP verneint und erst bei der Anhörung geltend gemacht wurden. Eine plausible Erklärung für das Nachschieben einer derart zentralen und fluchtauslösenden Situation ist den Beschwerdeakten nicht zu entnehmen. Zwar hatte sie bereits bei der BzP erwähnt, sie habe sich den Offizieren als persönliche Dienerin zur Verfügung halten müssen. Auf Nachfragen im Rahmen der BzP gab sie aber im Gegensatz zu entsprechenden Aussagen später bei der Anhörung zu erkennen, es sei ihr persönlich nichts Konkretes widerfahren. Das angeblich Erlebte schilderte sie gemäss Anhörungsprotokoll dann zudem überwiegend oberflächlich und kaum mit Realkennzeichen versehen (vgl. A 4/10 S. 4 f.; A 13/19 Antworten 112 ff.). Entgegen der Argumentation in der Beschwerde handelt es sich hierbei um entscheidrelevante Umstände, bei denen zu erwarten gewesen wäre, dass sie von der Beschwerdeführerin bereits bei der BzP geltend gemacht worden wären, sollten sie sich tatsächlich so zugetragen haben. Die damalige Anwesenheit einer männlichen Befragungsperson kann nicht als Grund (Schamgefühle der Beschwerdeführerin) für die Nichterwähnung der Sanktionen gelten, da sie ja auch bei der Anhörung, wo nach einiger Zeit der Protokollführer durch eine weibliche Person ersetzt wurde, nicht geltend machte, es sei tatsächlich zu sexuellen Handlungen gekommen (vgl. A 13/19 Antworten 72 ff.). Im Weiteren gab sie in eher stereotyper Art an, ihre Bescheinigung für die Ausbildung in G._______ unterwegs verloren zu haben, was in Anbetracht der Fallumstände wiederum auf fehlende Bezüge zum angeblich geleisteten Dienst vor Ort hindeutet (vgl. A 13/19 Antwort 97). Ferner wirken ihre Aussagen zur Grundausbildung an der Waffe entgegen den anderslautenden Beschwerdevorbringen zumindest zu Beginn ausgesprochen unsubstanziiert; die Schlussfolgerung des SEM, eine solche Ausbildung dürfte bei ihr nie stattgefunden haben, ist zu teilen (a.a.O., Antworten 82 ff.). Zwar war sie im Sinne der Beschwerdevorbringen in der Lage, zu ihrer angeblichen Einteilung in G._______ und der dortigen Situation gewisse Angaben zu machen. Eine persönliche Betroffenheit ist aber wiederum kaum zu erkennen, und die Möglichkeit, sich beispielsweise in der sudanesischen Exilgemeinde gewisse Kenntnisse über die Lage vor Ort zu verschaffen, kann klarerweise nicht ausgeschlossen werden. Stichhaltige Beschwerdegegenargumente sind auch in diesem Punkt nicht vorhanden. Schliesslich gab die Beschwerdeführerin ihren angeblichen Ausreisezeitpunkt aus Eritrea mit 2010 beziehungsweise 2012 an; die Erkenntnis, dass ihre Vorbringen auch wegen der unterschiedlichen Zeitangaben zur Ausreise und zum Aufenthalt im Sudan nicht zu überzeugen vermögen, wird dadurch bestätigt, zumal die Schilderung der Ausreise wiederum sehr substanzarm wirkt, was nicht durch das pauschale Beschwerdeargument, sie sei kundig geführt und jeweils nur nachts unterwegs gewesen, erklärt werden kann (vgl. a.a.O., Antworten 126 ff.).</w:t>
      </w:r>
    </w:p>
    <w:p>
      <w:r>
        <w:rPr>
          <w:b/>
        </w:rPr>
        <w:t>E. 4.2</w:t>
      </w:r>
    </w:p>
    <w:p>
      <w:r>
        <w:t>Was die auf Beschwerdeebene eingereichten Beweismittel anbelangt, so führen auch diese nicht zu einer anderen Beurteilung. Das SEM erwähnte in der Vernehmlassung zutreffenderweise, dass die mit der Beschwerde eingereichte Fotografie lediglich die Beschwerdeführerin in einem militärischen Kleidungsstück zeige. Ein Bezug zur angeblichen Leistung des Militärdienstes in G._______ kann so nicht hergestellt werden. Die mit der Replik eingereichten beiden Fotos zeigen wiederum (mutmasslich) die Beschwerdeführerin, und zwar offenbar in einer Schuluniform zusammen mit anderen Schülern und Schülerinnen in zwei - wo immer sich auch befindenden - Innenräumen. Ein konkreter Bezug zum angeblichen Militärdienst vor Ort ist aber auch so noch nicht ersichtlich, zumal die Kernvorbringen der Beschwerdeführerin wegen ihres Aussageverhaltens wie erwähnt nicht geglaubt werden können und die Aktenlage so insgesamt gegen die Glaubhaftigkeit des angeblich Fluchtauslösenden spricht.</w:t>
      </w:r>
    </w:p>
    <w:p>
      <w:r>
        <w:rPr>
          <w:b/>
        </w:rPr>
        <w:t>E. 4.3</w:t>
      </w:r>
    </w:p>
    <w:p>
      <w:r>
        <w:t>Mit Blick auf die von der vormaligen Beschwerdeinstanz begründete Rechtsprechung, welche vom Bundesverwaltungsgericht fortgeführt wurde (vgl. dazu u.a. Urteil des Bundesverwaltungsgerichts E-5761/2013 vom 12. Juni 2014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(zur jüngst erfolgten Praxisänderung des Gerichts betreffend Würdigung einer illegalen Ausreise vgl. untenstehend Ziff. 6).</w:t>
      </w:r>
    </w:p>
    <w:p>
      <w:r>
        <w:rPr>
          <w:b/>
        </w:rPr>
        <w:t>E. 4.4</w:t>
      </w:r>
    </w:p>
    <w:p>
      <w:r>
        <w:t>Nach dem Gesagten ist es der Beschwerdeführerin aber nicht gelungen, einen solchen Kontakt und damit eine allfällig drohende Verfolgung gemäss Art. 3 AsylG im Zeitpunkt der Ausreise glaubhaft zu machen.</w:t>
      </w:r>
    </w:p>
    <w:p>
      <w:r>
        <w:rPr>
          <w:b/>
        </w:rPr>
        <w:t>E. 5.1</w:t>
      </w:r>
    </w:p>
    <w:p>
      <w:r>
        <w:t>Es bleibt somit zu prüfen, ob die Beschwerdeführerin wegen ihrer Ausreise aus Eritrea bei einer Rückkehr dorthin - mithin wegen subjektiver Nachfluchtgründe - befürchten müsste, ernsthaften Nachteilen im Sinne von Art. 3 AsylG ausgesetzt zu werden.</w:t>
      </w:r>
    </w:p>
    <w:p>
      <w:r>
        <w:rPr>
          <w:b/>
        </w:rPr>
        <w:t>E. 5.2</w:t>
      </w:r>
    </w:p>
    <w:p>
      <w:r>
        <w:t>Als subjektive Nachfluchtgründe kommen insbesondere illegales Verlassen des Heimatlandes (sogenannte Republikflucht), Einreichung eines Asylgesuches im Ausland oder aus der Sicht der heimatstaatlichen Behörden unerwünschte exilpolitische Betätigung in Betracht. Dies aber nur dann, wenn sie die Gefahr einer zukünftigen Verfolgung begründen. Personen mit subjektiven Nachfluchtgründen erhalten zwar gemäss Art. 54 AsylG kein Asyl, werden jedoch als Flüchtlinge vorläufig aufgenommen (vgl. BVGE 2009/28 E. 7.1). Durch Republikflucht zum Flüchtling wird, wer sich aufgrund der unerlaubten Ausreise mit Sanktionen seines Heimatstaates konfrontiert sieht, die bezüglich ihrer Art, ihres Ausmasses und der politischen Motivation des Staates ernsthafte Nachteile gemäss Art. 3 Abs. 2 AsylG darstellen.</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6.1</w:t>
      </w:r>
    </w:p>
    <w:p>
      <w:r>
        <w:t>Zur bisherigen Praxis des Bundesverwaltungsgerichts die illegale Ausreise aus Eritrea betreffend kann auf das Bundesverwaltungsgerichtsurteil D-7898/2015 vom 30. Januar 2017 (als Referenzurteil publiziert) verwiesen werden (vgl. E. 4.1 f.).</w:t>
      </w:r>
    </w:p>
    <w:p>
      <w:r>
        <w:rPr>
          <w:b/>
        </w:rPr>
        <w:t>E. 6.2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6.3</w:t>
      </w:r>
    </w:p>
    <w:p>
      <w:r>
        <w:t>In Anbetracht der geänderten Rechtsprechung kann die Glaubhaftigkeit der illegalen Ausreise vorliegend offen gelassen werden, da solche zusätzlichen Faktoren im Falle der Beschwerdeführerin zu verneinen sind. Es gelang ihr gemäss vorstehenden Erwägungen nicht, die Flucht aus dem Militärdienst in G._______ in der geschilderten Form glaubhaft zu machen, so dass sie nicht als Deserteurin gelten kann. Andere Anknüpfungspunkte, welche sie in den Augen des eritreischen Regimes als missliebige Person erscheinen lassen könnten, sind ebenfalls nicht ersichtlich. So ist den Akten nicht zu entnehmen, dass sie religiös oder politisch aktiv gewesen wäre. Politisches Engagement von nahen Angehörigen wurde ebenfalls nicht geltend gemacht. Somit bleibt festzuhalten, dass allein die illegale Ausreise keine Furcht vor einer zukünftigen flüchtlingsrechtlich relevanten Verfolgung zu begründen vermöchte, da keine zusätzlichen Faktoren für ein Risikoprofil zu erkennen sind. Auch das blosse Stellen eines Asylgesuchs im Ausland führt zu keiner entscheidrelevanten Schärfung des Risikoprofils (vgl. Urteil des BVGer D-1045/2016 vom 24. Mai 2016 E. 7.4). Wie bereits erwähnt, kann die Frage der Glaubhaftigkeit der illegalen Ausreise mangels Asylrelevanz daher offenbleiben. Bei dieser Sachlage ist auf die Eingabe vom 2. Dezember 2016 nicht weiter einzugehen.</w:t>
      </w:r>
    </w:p>
    <w:p>
      <w:r>
        <w:rPr>
          <w:b/>
        </w:rPr>
        <w:t>E. 6.4</w:t>
      </w:r>
    </w:p>
    <w:p>
      <w:r>
        <w:t>Nach dem Gesagten bestehen bei der Beschwerdeführerin auch keine flüchtlingsrechtlich relevanten subjektiven Nachfluchtgründe. Die Vorinstanz hat somit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Die Beschwerdeführerin wurde vom SEM mit Entscheid vom 10. April 2015 wegen Unzumutbarkeit des Wegweisungsvollzuges vorläufig in der Schweiz aufgenommen. Ihre in der Schweiz geborene Tochter wurde vom SEM in die vorläufige Aufnahme einbezogen. Ausführungen zum Vollzug der Wegweisung erübrigen sich demnach.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Verfahrenskosten den Beschwerdeführerinnen aufzuerlegen (Art. 63 Abs. 1 VwVG). Die Beschwerdeführerin stellte in ihrer Rechtsmitteleingabe jedoch ein Gesuch um unentgeltliche Rechtspflege im Sinne von Art. 65 Abs. 1 VwVG, welches das Gericht mit Instruktionsverfügung vom 18. Mai 2015 guthiess. Folglich sind keine Verfahrenskosten zu erheben, zumal sich ihre finanzielle Situation nicht entscheidwesentlich veränderte. Mit Verfügung vom 18. Mai 2015 wurde ausserdem das Gesuch um amtliche Verbeiständung gutgeheissen (Art. 110a Abs. 1 VwVG) und der Beschwerdeführerin ihre Rechtsvertreterin als Rechtsbeistand zugeordnet. Die Festsetzung des amtlichen Honorars für die eingesetzte Rechtsbeiständin erfolgt in Anwendung der Art. 8 - 11 sowie Art. 12 des Reglements vom 21. Februar 2008 über die Kosten und Entschädigungen vor dem Bundesverwaltungsgericht (VGKE, SR 173.320.2). Die Rechtsvertreterin reichte mit Eingabe vom 2. Dezember 2016 eine Kostennote zu den Akten, welche als abschliessend zu beurteilen ist, da danach keine weiteren Verfahrensschritte erfolgten. Der darin aufgelistete Aufwand, fussend auf einem Stundenansatz von Fr. 250.-, ist im Vergleich zu ähnlich gelagerten Fällen nicht vollumfänglich angemessen - die Eingabe vom 2. Dezember 2016 enthält beispielsweise in einer Vielzahl von Verfahren des Advokaturbüros Kanonengasse betreffend Eritreer eingereichte Standardvorbringen - und entsprechend zu kürzen. Praxisgemäss ist bei amtlicher Vertretung in der Regel von einem Stundenansatz von Fr. 100.- bis Fr. 150.- für nicht-anwaltliche Vertreterinnen und Vertreter auszugehen (Art. 12 i.V.m. Art. 10 Abs. 2 VGKE), wobei nur der notwendige Aufwand entschädigt wird (Art. 8 Abs. 2 VGKE). Nach dem Gesagten sowie gestützt auf die in Betracht zu ziehenden Bemessungsfaktoren (Art. 9 - 13 VGKE) ist der Rechtsvertreterin zulasten der Gerichtskasse des Bundesverwaltungsgerichts ein amtliches Honorar von gerundet Fr. 1300.-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