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D-3012/2011 vom 1. Juni 2011</w:t>
      </w:r>
    </w:p>
    <w:p>
      <w:r>
        <w:t>Bundesverwaltungsgericht, 2011-06-01, DE</w:t>
      </w:r>
    </w:p>
    <w:p>
      <w:r>
        <w:rPr>
          <w:b/>
        </w:rPr>
        <w:t xml:space="preserve">Quelle: </w:t>
      </w:r>
      <w:r>
        <w:t>https://mcp.opencaselaw.ch/entscheid/bvger_D-3012_2011</w:t>
      </w:r>
    </w:p>
    <w:p>
      <w:r>
        <w:t>FR: TAF D-3012/2011 du 1 juin 2011</w:t>
      </w:r>
    </w:p>
    <w:p>
      <w:r>
        <w:t>IT: TAF D-3012/2011 del 1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das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sei nach Österreich gereist, wo er am 15. Juni 2007 um Asyl nachgesucht und bis zu seiner Reise in die Schweiz gewohnt habe.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12. April 2011 einer Übernahme des Beschwerdeführers gestützt auf Art. 16 Abs. 1 Bst. c Dublin-II-VO zugestimmt. Die Rückführung habe - vorbehältlich einer allfälligen Unterbrechung oder Verlängerung (Art. 19 f. Dublin-II-VO) - bis spätestens am 12. Oktober 2011 zu erfolgen. Anlässlich des dem Beschwerdeführer am 14. Dezember 2010 gewährten rechtlichen Gehörs habe dieser seine eigenen Aussagen und die Abklärungsresultate des BFM bestätigt. Er verstehe, dass Österreich für sein Asylverfahren zuständig sei und deswegen die Schweiz nicht auf sein Asylgesuch eintreten könne. Er sage, dass er nicht nach Österreich gehen wolle, weil er dort mit den Tschetschenen, die dort wohnten, Probleme gehabt habe. Diese Aussagen stellten kein Hindernis für eine Wegweisung nach Österreich dar, weil Österreich seinen rechtsstaatlichen Verpflichtungen nachkomme und der Beschwerdeführer sich an die zuständigen Behörden in Österreich wenden könne. Auch wegen der medizinischen Probleme könne sich der Beschwerdeführer - wie bereits zuvor - an die Behörden in Österreich wenden.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Menschenreche und Grundfreiheiten (EMRK, SR 0.101) im Falle einer Rückkehr des Beschwerdeführers nach Österreich. Weder die in Österreich herrschende Situation noch andere Gründe sprächen gegen die Zumutbarkeit der Wegweisung in diesen Staat. Die gesundheitlichen Beschwerden des Beschwerdeführers seien schon in Österreich behandelt worden. Ausserdem sei der Vollzug der Wegweisung technisch möglich und praktisch durchführbar. Eine entsprechende Zustimmung Österreichs liege vor. Aus den ärztlichen Unterlagen ergäben sich keine Gründe, die gegen die Rückweisung des Beschwerdeführers nach Österreich sprächen. Schliesslich hätten Beschwerden gegen Nichteintretensentscheide gemäss Art. 34 Abs. 2 Bst. d AsylG gestützt auf Art. 107a AsylG keine aufschiebende Wirkung.</w:t>
      </w:r>
    </w:p>
    <w:p>
      <w:r>
        <w:rPr>
          <w:b/>
        </w:rPr>
        <w:t>E. 5.3</w:t>
      </w:r>
    </w:p>
    <w:p>
      <w:r>
        <w:t>Aus den Akten ergibt sich, dass der Beschwerdeführer im Juni 2007 in Österreich einreiste, wo er am 15. Juni 2007 daktyloskopisch registriert wurde, am selben Tag ein Asylgesuch stellte und sich bis zu seiner Reise in die Schweiz dort aufhielt. Da das BFM die österreichischen Behörden am 4. April 2011 um Wiederaufnahme des Beschwerdeführers gemäss Art. 16 Abs. 1 Bst. c Dublin-II-VO ersuchte, und diese am 12. April 2011 gestützt auf diese Bestimmung einer Übernahme des Beschwerdeführers zustimmten, kann der Beschwerdeführer ohne Weiteres in den Dublin-Staat Österreich ausreisen, der staatsvertraglich zuständig ist. An dieser Einschätzung ändern auch die in der Beschwerde geäusserten Bedenken hinsichtlich einer Rückschiebung in sein Heimatland im Falle einer Rückkehr nach Österreich nichts, ist doch Österreich unter anderem Signatarstaat der EMRK, des Abkommens vom 28. Juli 1951 über die Rechtsstellung der Flüchtlinge (FK, SR 0.142.30) und des Übereinkommens vom 10. Dezember 1984 gegen Folter und andere grausame, unmenschliche oder erniedrigende Behandlung oder Strafe (FoK, SR 0.105). Es bestehen vorliegend keine glaubhaften Hinweise darauf, Österreich würde sich im Falle des Beschwerdeführers nicht an die daraus resultierenden massgebenden völkerrechtlichen Bestimmungen, insbesondere an das Rückschiebungsverbot oder die einschlägigen Normen der EMRK, halten, weshalb das Vorbringen des Beschwerdeführers betreffend einer Rückschiebung in sein Heimatland im Falle seiner Rückkehr nach Österreich die Rechtmässigkeit der Überstellung dorthin nicht zu erschüttern vermag. Nach dem Gesagten ist zudem davon auszugehen, dass der Beschwerdeführer - insbesondere auch im Hinblick auf die von ihm geltend gemachten gesundheitliche Beschwerden (...) - bei Bedarf in Österreich eine adäquate medizinische Betreuung in Anspruch nehmen kann, zumal nach Erkenntnis des Bundesverwaltungsgerichts die medizinische Versorgung in diesem Land gewährleistet ist und der Beschwerdeführer gemäss den Akten schon während seines letzten Aufenthalts in Österreich angemessen medizinisch behandelt wurde. Bezüglich der vom Beschwerdeführer vorgebrachten gesundheitlichen Beschwerden ist zudem festzuhalten, dass gemäss der Praxis des Europäischen Gerichtshofes für Menschenrechte (EGMR) der Vollzug der Wegweisung eines abgewiesenen Asylsuchenden mit gesundheitlichen Problemen im Einzelfall einen Verstoss gegen Art. 3 EMRK darstellen kann, wobei hierfür jedoch ganz aussergewöhnliche Umstände vorausgesetzt sind (vgl. EMARK 2005 Nr. 23 E. 5.1 S. 211 f., mit einer Zusammenfassung der Rechtsprechung des EGMR). Vorliegend können - insbesondere auch unter Berücksichtigung der vom Beschwerdeführer eingereichten ärztlichen Unterlagen -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bei einer Rückkehr des Beschwerdeführers nach Österreich ausgeschlossen werden (BVGE 2009/2 E. 9.1.3). Nach dem Dargelegten kann daher darauf verzichtet werden, die in der Rechtsmittelschrift in Aussicht gestellten ärztlichen Berichte abzuwarten (antizipierte Beweiswürdigung; Fritz Gygi, Bundesverwaltungsrechtspflege, 2. Aufl., Bern 1983, S. 274; BVGE 2008/24 E. 7.2, EMARK 2003 Nr. 13 S. 84). Auch die Aussage des Beschwerdeführers in der Rechtsmittelschrift, er wolle nicht nach Österreich zurückkehren, da er dort aufgrund einer früheren Beziehung mit einem tschetschenischen Mädchen von Tschetschenen mit dem Tod bedroht werde, steht einer Überstellung nicht entgegen, zumal er sich deswegen - falls es nötig sein sollte - an die österreichischen Behörden wenden kann und Österreich als Mitgliedstaat der Europäischen Union ein Rechtsstaat ist sowie als solcher die Sicherheit des Beschwerdeführers im gesetzlichen Rahmen gewährleistet, weshalb es sich erübrigt, weiter darauf einzugehen. Angesichts der gesamten Umstände erweist sich der Vollzug der Wegweisung nach Österreich in Berücksichtigung der entscheidrelevanten Aspekte - insbesondere unter dem Blickwinkel von Art. 3 EMRK - als zulässig und zumutbar, weshalb vorliegend - entgegen der Behauptung des Beschwerdeführers in der Rechtsmittelschrift - kein Anlass zum Selbsteintritt besteht. Um der Situation des Beschwerdeführers Rechnung zu tragen, wird das BFM angewiesen, die zuständigen österreichischen Behörden bei der Überstellung des Beschwerdeführers über dessen Gesundheitszustand zu informieren, damit diese rechtzeitig die notwendigen Massnahmen ergreifen können.</w:t>
      </w:r>
    </w:p>
    <w:p>
      <w:r>
        <w:rPr>
          <w:b/>
        </w:rPr>
        <w:t>E. 5.4</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Österreich zu bestätigen.</w:t>
      </w:r>
    </w:p>
    <w:p>
      <w:r>
        <w:rPr>
          <w:b/>
        </w:rPr>
        <w:t>E. 7</w:t>
      </w:r>
    </w:p>
    <w:p>
      <w:r>
        <w:t>Mit dem Urteil in der Hauptsache sind die Gesuche um Verzicht auf die Erhebung eines Kostenvorschusses und um Erteilung der aufschie-benden Wirkung der Beschwerde sowie Anweisung der Vollzugsbehörden, von einer Überstellung nach Österreich abzusehen, bis das Bundesverwaltungsgericht über die vorliegende Beschwerde entschieden hat, gegenstandslos geworden, zumal vorsorgliche Massnahmen ohnehin lediglich für die Dauer des Beschwerdeverfahrens wirksam wären.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