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D-3011/2026 vom 13. Mai 2026</w:t>
      </w:r>
    </w:p>
    <w:p>
      <w:r>
        <w:t>Bundesverwaltungsgericht, 2026-05-13, DE</w:t>
      </w:r>
    </w:p>
    <w:p>
      <w:r>
        <w:rPr>
          <w:b/>
        </w:rPr>
        <w:t xml:space="preserve">Quelle: </w:t>
      </w:r>
      <w:r>
        <w:t>https://mcp.opencaselaw.ch/entscheid/bvger_D-3011_2026</w:t>
      </w:r>
    </w:p>
    <w:p>
      <w:r>
        <w:t>FR: TAF D-3011/2026 du 13 mai 2026</w:t>
      </w:r>
    </w:p>
    <w:p>
      <w:r>
        <w:t>IT: TAF D-3011/2026 del 13 maggio 2026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die Aufhebung der angefochtenen Verfügung beantragt wird.</w:t>
      </w:r>
    </w:p>
    <w:p>
      <w:r>
        <w:rPr>
          <w:b/>
        </w:rPr>
        <w:t>E. 2</w:t>
      </w:r>
    </w:p>
    <w:p>
      <w:r>
        <w:t>Die Verfügung vom 21. April 2026 wird aufgehoben und die Sache wird im Sinne der Erwägungen an die Vorinstanz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Parteientschädigung ausgerichtet.</w:t>
      </w:r>
    </w:p>
    <w:p>
      <w:r>
        <w:rPr>
          <w:b/>
        </w:rPr>
        <w:t>E. 5</w:t>
      </w:r>
    </w:p>
    <w:p>
      <w:r>
        <w:t>Dieses Urteil geht an den Beschwerdeführer, das SEM und die kantonale Migrationsbehörde. Der Einzelrichter: Die Gerichtsschreiberin: Thomas Segessenmann Lea Fritsche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