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D-3009/2021 vom 8. Juli 2021</w:t>
      </w:r>
    </w:p>
    <w:p>
      <w:r>
        <w:t>Bundesverwaltungsgericht, 2021-07-08, FR</w:t>
      </w:r>
    </w:p>
    <w:p>
      <w:r>
        <w:rPr>
          <w:b/>
        </w:rPr>
        <w:t xml:space="preserve">Quelle: </w:t>
      </w:r>
      <w:r>
        <w:t>https://mcp.opencaselaw.ch/entscheid/bvger_D-3009_2021</w:t>
      </w:r>
    </w:p>
    <w:p>
      <w:r>
        <w:t>FR: TAF D-3009/2021 du 8 juillet 2021</w:t>
      </w:r>
    </w:p>
    <w:p>
      <w:r>
        <w:t>IT: TAF D-3009/2021 del 8 luglio 2021</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L'intéressée, agissant pour elle-même et ses deux enfants, a qualité pour recourir. Présenté dans la forme (art. 52 al. 1 PA) et le délai (art. 108 al. 6 LAsi) prescrits par la loi,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[ci-après : Praxiskommentar VwVG], art. 58 PA no9 s. p. 1214),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in Praxiskommentar VwVG, art. 66 PA no 26 p. 1357 et réf. cit. ;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cf.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dûment motivée est déposée par écrit auprès du SEM dans les trente jours qui suivent la découverte du motif de réexamen (art. 111b al. 1 LAsi).</w:t>
      </w:r>
    </w:p>
    <w:p>
      <w:r>
        <w:rPr>
          <w:b/>
        </w:rPr>
        <w:t>E. 3</w:t>
      </w:r>
    </w:p>
    <w:p>
      <w:r>
        <w:t>La recourante demande la reconsidération de la décision du SEM du 12 janvier 2018 en particulier en raison de la dégradation de son état de santé et de celle de son fils. Sa demande tend dès lors à obtenir la reconnaissance d'un changement notable de circonstances, postérieur à cette décision, de nature à faire constater l'inexigibilité de l'exécution du renvoi. Dans son recours (cf. p. 15, en relation avec la p. 16 de la demande de réexamen du 20 mai 2021), elle ne conclut plus à la reconnaissance de la qualité de réfugié. Partant, seule demeure indécise la question du caractère exigible, ou non, de l'exécution du renvoi.</w:t>
      </w:r>
    </w:p>
    <w:p>
      <w:r>
        <w:rPr>
          <w:b/>
        </w:rPr>
        <w:t>E. 4.1</w:t>
      </w:r>
    </w:p>
    <w:p>
      <w:r>
        <w:t>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 2009/28 consid. 9.3.2). S'il reste un élément d'appréciation parmi d'autres, le principe de l'intérêt supérieur de l'enfant n'en doit pas moins se voir accorder, dans l'appréciation du caractère exécutable du renvoi, un poids particulier (cf. ATAF 201420 consid. 8.3.6).</w:t>
      </w:r>
    </w:p>
    <w:p>
      <w:r>
        <w:rPr>
          <w:b/>
        </w:rPr>
        <w:t>E. 4.2</w:t>
      </w:r>
    </w:p>
    <w:p>
      <w:r>
        <w:t>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4.3</w:t>
      </w:r>
    </w:p>
    <w:p>
      <w:r>
        <w:t>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4.4</w:t>
      </w:r>
    </w:p>
    <w:p>
      <w:r>
        <w:t>En l'espèce, malgré le conflit entre les forces éthiopiennes et le Front populaire de libération du Tigré ayant impliqué les forces érythréennes qui ont porté assistance aux autorités éthiopiennes,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4.5</w:t>
      </w:r>
    </w:p>
    <w:p>
      <w:r>
        <w:t>En outre, selon le rapport médical du 19 mai 2021, la recourante souffre d'un (...), avec des éléments (...). Ainsi, le diagnostic n'a guère évolué depuis l'appréciation des problèmes médicaux qui a été faite par le SEM, dans sa décision du 23 août 2018, puis par le Tribunal dans son arrêt d'irrecevabilité D-5416/2018 du 23 octobre 2018 (cf. en particulier la décision incidente du Tribunal du 28 septembre 2018 ayant considéré que les conclusions du recours paraissaient d'emblée vouées à l'échec). En outre, n'est pas décisif le fait que le traitement médicamenteux ait été modifié (cf. le recours, ch. 33, p. 6). Dans ces conditions, il ne fait aucun doute que la recourante pourra bénéficier en Erythrée, en particulier à Asmara, des soins essentiels que requièrent ses pathologies, la médication qui lui est prescrite étant disponible sur place, à tout le moins des antidépresseurs et des anxiolytiques. La recourante ne prétend du reste pas le contraire dans son recours du 30 juin 2021. S'agissant de l'origine de ses troubles, liés selon elle aux agressions sexuelles subies en Erythrée et en Libye durant son parcours migratoire, elle n'est pas décisive, étant encore rappelé que le viol collectif subi en Erythrée n'a pas été à l'origine de sa fuite du pays et qu'elle ne sera pas renvoyée dans un pays, notamment la Libye, par lequel elle a voyagé pour venir en Europe et où elle dit avoir subi des maltraitances. S'agissant enfin des troubles de nature suicidaire, ayant justifié son hospitalisation en date du (...) 2021, il y a lieu de rappeler qu'ils sont couramment observés chez les personnes confrontées à l'imminence d'un renvoi ou devant faire face à l'incertitude de leur statut en Suisse. Cela dit, ni une tentative de suicide ni des tendances suicidaires ("suicidalité") ne constituent en soi un obstacle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En particulier, il appartiendra aux autorités d'exécution du renvoi de vérifier les éventuelles mesures d'accompagnement qu'impose l'état de santé de la recourante de manière à prévenir, le cas échéant, tout acte d'auto-agression de sa part.</w:t>
      </w:r>
    </w:p>
    <w:p>
      <w:r>
        <w:rPr>
          <w:b/>
        </w:rPr>
        <w:t>E. 4.6</w:t>
      </w:r>
    </w:p>
    <w:p>
      <w:r>
        <w:t>S'agissant de l'enfant B._______, force est de constater, à l'instar du SEM, que les atteintes à sa santé, notamment des difficultés d'ordre (...), ne sont pas d'une gravité telle qu'elles pourraient, en l'absence d'une prise en charge adéquate, induire d'une manière certaine une mise en danger concrète de sa vie ou une atteinte sérieuse, durable et notablement plus grave de son intégrité physique, au sens restrictif de la jurisprudence. En outre, cet enfant, au vu de son jeune âge, n'est manifestement pas à ce point imprégné et intégré au mode de vie en Suisse qu'un retour au Erythrée apparaisse comme déraisonnable et constitue un déracinement susceptible de porter atteinte à son développement personnel. Il retournera dans ce pays, comme le SEM l'a justement relevé, avec ses père et mère et retrouvera sur place des membres de sa famille, tant du côté maternel que paternel.</w:t>
      </w:r>
    </w:p>
    <w:p>
      <w:r>
        <w:rPr>
          <w:b/>
        </w:rPr>
        <w:t>E. 4.7</w:t>
      </w:r>
    </w:p>
    <w:p>
      <w:r>
        <w:t>Il s'ensuit que le recours, en tant qu'il conteste le rejet de la demande de réexamen, doit être rejeté.</w:t>
      </w:r>
    </w:p>
    <w:p>
      <w:r>
        <w:rPr>
          <w:b/>
        </w:rPr>
        <w:t>E. 5</w:t>
      </w:r>
    </w:p>
    <w:p>
      <w:r>
        <w:t>Dans la mesure où il est statué immédiatement sur le recours, la demande de mesures provisionnelles est sans objet.</w:t>
      </w:r>
    </w:p>
    <w:p>
      <w:r>
        <w:rPr>
          <w:b/>
        </w:rPr>
        <w:t>E. 6.1</w:t>
      </w:r>
    </w:p>
    <w:p>
      <w:r>
        <w:t>Les conclusions du recours étant d'emblée vouées à l'échec, la demande d'assistance judiciaire partielle est rejetée (art. 65 al. 1 PA).</w:t>
      </w:r>
    </w:p>
    <w:p>
      <w:r>
        <w:rPr>
          <w:b/>
        </w:rPr>
        <w:t>E. 6.2</w:t>
      </w:r>
    </w:p>
    <w:p>
      <w:r>
        <w:t>Compte tenu de l'issue de la cause, il y a lieu de mettre les frais de procédure, d'un montant de 1'500 francs, à la charge de la recourante, conformément à l'art. 63 al. 1 PA,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