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D-3007/2018 vom 5. Juli 2018</w:t>
      </w:r>
    </w:p>
    <w:p>
      <w:r>
        <w:t>Bundesverwaltungsgericht, 2018-07-05, DE</w:t>
      </w:r>
    </w:p>
    <w:p>
      <w:r>
        <w:rPr>
          <w:b/>
        </w:rPr>
        <w:t xml:space="preserve">Quelle: </w:t>
      </w:r>
      <w:r>
        <w:t>https://mcp.opencaselaw.ch/entscheid/bvger_D-3007_2018</w:t>
      </w:r>
    </w:p>
    <w:p>
      <w:r>
        <w:t>FR: TAF D-3007/2018 du 5 juillet 2018</w:t>
      </w:r>
    </w:p>
    <w:p>
      <w:r>
        <w:t>IT: TAF D-3007/2018 del 5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nach der fristgerechten Leistung des Kostenvorschusses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Nach Auffassung des Gerichts hinterlässt die Argumentation der Vorinstanz im Asylpunkt nach Durchsicht der Akten im Ergebnis einen überzeugenden Eindruck. Mit dem sinngemässen Wiederholen des aktenkundigen Sachverhalts und dem Vorbringen, dass die Polizei, nachdem sie erfahren habe, dass der Bruder E._______ des Beschwerdeführers seit ein paar Jahren bei der PKK sei, die Familie ständigen Repressionen ausgesetzt habe, wobei diese mit der Zeit dermassen zugenommen hätten, dass er gezwungen gewesen sei, entweder in die Berge zu gehen oder ins Ausland zu flüchten, vermag er keine individuelle Verfolgung im Sinne von Art. 3 AsylG oder eine diesbezügliche begründete Furcht nachzuweisen. Zur Vermeidung von Wiederholungen kann auf die zutreffenden Erwägungen in der angefochtenen Verfügung verwiesen werden, denen der Beschwerdeführer mit seinen Ausführungen in der Beschwerdeeingabe nichts Substanzielles entgegenzusetzen vermag. Ihm wurde bereits mit Zwischenverfügung vom 14. Juni 2018 ausführlich dargelegt, weshalb seine Vorbringen in der Beschwerde - da aussichtslos - keine andere Beurteilung in der Frage der Asylgewährung zu bewirken vermögen. Ergänzend kann angeführt werden, dass sich die Familienangehörigen des Beschwerdeführers, welche die gleichen Repressalien erlitten haben sollen, sich - soweit aktenkundig - nicht veranlasst sahen, die Türkei zu verlassen. Seine (...) Geschwister (Anzahl der Brüder und Schwestern) leben nach Bekunden des Beschwerdeführers weiterhin in Istanbul und haben keine behördlichen Probleme (vgl. act. [...]). Zudem führte der Beschwerdeführer selbst aus, dass die Polizei seit dem Tod des Bruders E._______ die Familie nicht mehr aufgesucht habe (vgl. act. [...]). Sodann hat sich die Sachlage hinsichtlich der Begehren von damals zwischenzeitlich nicht verändert, weshalb sich weitere Erörterungen erübrigen und auf besagte Zwischenverfügung zu verweisen ist.</w:t>
      </w:r>
    </w:p>
    <w:p>
      <w:r>
        <w:rPr>
          <w:b/>
        </w:rPr>
        <w:t>E. 4.4</w:t>
      </w:r>
    </w:p>
    <w:p>
      <w:r>
        <w:t>Zusammenfassend ist festzuhalten, dass es dem Beschwerdeführer nicht gelungen ist, die Flüchtlingseigenschaft nachzuweisen oder zumindest glaubhaft zu machen. Die Vorinstanz hat sein Asylgesuch demzufolge zu Recht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allgemeine Lage in der Türkei ist, wie die Vorinstanz zutreffend festhielt, nicht von allgemeiner Gewalt gekennzeichnet, so dass der Vollzug der Wegweisung dorthin grundsätzlich zumutbar erscheint. Zudem bestehen keine individuellen Wegweisungshindernisse. So handelt es sich beim Beschwerdeführer um einen jungen, soweit aktenkundig, nicht an einer lebensbedrohenden Krankheit leidenden Mann im arbeitsfähigen Alter, der seit Abschluss der Sekundarschule im Jahr 2004 in Istanbul als angelernter (...) tätig war und seine Reisekosten von (...) Euro aus Erspartem selbst zu finanzieren vermochte. In Istanbul lebte er zusammen mit (...) erwerbstätigen Brüdern und (Anzahl Schwestern), die ihn zuhause unterstützen können. Zudem leben seine Eltern und sein jüngster Bruder weiterhin in der Türkei, wo sich auch (...) Halbgeschwister und diverse Onkel und Tanten aufhalten. Der Beschwerdeführer verfügt somit in seinem Heimatstaat über ein breitgefächertes und tragfähiges familiäres Beziehungsnetz. Nach dem Gesagten erweist sich der Vollzug der Wegweisung auch als zumutbar.</w:t>
      </w:r>
    </w:p>
    <w:p>
      <w:r>
        <w:rPr>
          <w:b/>
        </w:rPr>
        <w:t>E. 6.4</w:t>
      </w:r>
    </w:p>
    <w:p>
      <w:r>
        <w:t>Schliesslich obliegt es dem Beschwerdeführer die für eine Rückkehr allfällig notwendig werdenden Reisevorkehrungen bei der zuständigen Vertretung des Heimatstaates zu treffen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18. Juni 2018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