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D-3006/2020 vom 2. Juli 2020</w:t>
      </w:r>
    </w:p>
    <w:p>
      <w:r>
        <w:t>Bundesverwaltungsgericht, 2020-07-02, DE</w:t>
      </w:r>
    </w:p>
    <w:p>
      <w:r>
        <w:rPr>
          <w:b/>
        </w:rPr>
        <w:t xml:space="preserve">Quelle: </w:t>
      </w:r>
      <w:r>
        <w:t>https://mcp.opencaselaw.ch/entscheid/bvger_D-3006_2020</w:t>
      </w:r>
    </w:p>
    <w:p>
      <w:r>
        <w:t>FR: TAF D-3006/2020 du 2 juillet 2020</w:t>
      </w:r>
    </w:p>
    <w:p>
      <w:r>
        <w:t>IT: TAF D-3006/2020 del 2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-endgültig (Art. 105 AsylG;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somit einzutreten (Art. 108 Abs. 1 AsylG; Art. 105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vorliegend auf die Durchführung eines Schriftenwechsels verzichtet.</w:t>
      </w:r>
    </w:p>
    <w:p>
      <w:r>
        <w:rPr>
          <w:b/>
        </w:rPr>
        <w:t>E. 4</w:t>
      </w:r>
    </w:p>
    <w:p>
      <w:r>
        <w:t>In den Rechtsbegehren wird zwar die Aufhebung sämtlicher Dispositivziffern der angefochtenen Verfügung beantragt, gleichzeitig aber ausdrücklich nur die Erteilung der vorläufigen Aufnahme begehrt. Auch die Beschwerdebegründung richtet sich ausschliesslich gegen die angeordnete Wegweisung und den Wegweisungsvollzug. Die Verweigerung der Flüchtlingseigenschaft und des Asyls sind somit mit Ablauf der Rechtsmittelfrist in Rechtskraft erwachsen (Dispositivziffern 1 und 2 der angefochtenen Verfügung).</w:t>
      </w:r>
    </w:p>
    <w:p>
      <w:r>
        <w:rPr>
          <w:b/>
        </w:rPr>
        <w:t>E. 5.1</w:t>
      </w:r>
    </w:p>
    <w:p>
      <w:r>
        <w:t>Gemäss Art. 44 AsylG verfügt das SEM in der Regel die Wegweisung aus der Schweiz, wenn es das Asylgesuch ablehnt oder darauf nicht eintritt; es berücksichtigt dabei die Einheit der Familie.</w:t>
      </w:r>
    </w:p>
    <w:p>
      <w:r>
        <w:rPr>
          <w:b/>
        </w:rPr>
        <w:t>E. 5.2.1</w:t>
      </w:r>
    </w:p>
    <w:p>
      <w:r>
        <w:t>Im Asyl- und Wegweisungsverfahren ist die Wegweisung nicht zu verfügen, wenn die asylsuchende Person im Besitze einer gültigen Niederlassungs- oder Aufenthaltsbewilligung ist (Art. 32 Bst. a der Asylverordnung 1 vom 11. August 1999 [AsylV 1, SR 142.311]) oder ein grundsätzlicher Anspruch auf Erteilung einer Aufenthaltsbewilligung besteht, wobei die kantonale Ausländerbehörde zuständig ist, über den Anspruch konkret zu befinden (vgl. auch BVGE 2013/37 E. 4.4; EMARK 2006 Nr. 23 E. 3.2; EMARK 2001 Nr. 21 E. 9).</w:t>
      </w:r>
    </w:p>
    <w:p>
      <w:r>
        <w:rPr>
          <w:b/>
        </w:rPr>
        <w:t>E. 5.2.2</w:t>
      </w:r>
    </w:p>
    <w:p>
      <w:r>
        <w:t>Ist die asylsuchende Person nicht im Besitz einer Aufenthalts- oder Niederlassungsbewilligung, ist im Asyl- und Wegweisungsverfahren mit Blick auf die mögliche Zuständigkeit der kantonalen Ausländerbehörde daher vorfrageweise zu prüfen (vgl. EMARK 2001 Nr. 21 E. 10), ob die asylsuchende Person sich im Sinne von Art. 14 Abs. 1 AsylG auf einen grundsätzlichen Anspruch auf Erteilung einer Aufenthaltsbewilligung berufen kann. 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sowie E. 9).</w:t>
      </w:r>
    </w:p>
    <w:p>
      <w:r>
        <w:rPr>
          <w:b/>
        </w:rPr>
        <w:t>E. 5.2.3</w:t>
      </w:r>
    </w:p>
    <w:p>
      <w:r>
        <w:t>Art. 8 EMRK (bzw. Art. 13 BV) garantiert zwar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seinerseits über ein gefestigtes Anwesenheitsrecht verfügen. Dies ist der Fall, wenn dieser das Schweizer Bürgerrecht oder eine Niederlassungsbewilligung besitzt oder über eine Aufenthaltsbewilligung verfügt, die ihrerseits auf einem gefestigten Rechtsanspruch beruht (vgl. BGE 135 I 143 E. 1.3.1, 130 II 281 E. 3.1; EMARK 2005 Nr. 3 E. 3.1). Im Zusammenhang mit der Bewilligung der Anwesenheit in der Schweiz schützt Art. 8 EMRK in erster Linie die Kernfamilie, das heisst die Gemeinschaft der Ehegatten mit ihren minderjährigen Kindern (vgl. BGE 129 II 11 E. 2).</w:t>
      </w:r>
    </w:p>
    <w:p>
      <w:r>
        <w:rPr>
          <w:b/>
        </w:rPr>
        <w:t>E. 5.2.4</w:t>
      </w:r>
    </w:p>
    <w:p>
      <w:r>
        <w:t>Die im Asylverfahren angeordnete Wegweisung wird praxisgemäss aufgehoben, wenn (1) ein potenzieller Anspruch gestützt auf Art. 8 EMRK vorfrageweise bejaht wird, (2) die betroffene Person an die zuständige kantonale Ausländerbehörde ein Gesuch um Erteilung einer Aufenthaltsbewilligung gerichtet hat sowie (3) dieses Gesuch noch hängig ist (vgl. BVGE 2013/37 E. 4.4.2.2).</w:t>
      </w:r>
    </w:p>
    <w:p>
      <w:r>
        <w:rPr>
          <w:b/>
        </w:rPr>
        <w:t>E. 6.1</w:t>
      </w:r>
    </w:p>
    <w:p>
      <w:r>
        <w:t>Der Beschwerdeführer verfügt weder über eine ausländerrechtliche Niederlassungs- oder Aufenthaltsbewilligung noch über einen selbständigen Anspruch auf Erteilung einer Aufenthaltsbewilligung. Er kann sich mit Blick auf sein Verhältnis zu seinen minderjährigen Kindern aber auf einen Anspruch berufen: Diese verfügen unbestrittenermassen über eine Niederlassungsbewilligung in der Schweiz und damit über ein gefestigtes Anwesenheitsrecht. Gestützt darauf kommt dem Beschwerdeführer ein potenzieller Anspruch auf Anwesenheitsbewilligung zu, weshalb er sich auf Art. 8 EMRK berufen kann (sog. "umgekehrter Familiennachzug"; vgl. BGE 135 I 143 E. 1.3.2 m.w.H.). Das SEM ist somit zu Unrecht davon ausgegangen, der Beschwerdeführer könne sich nicht auf Art. 8 EMRK berufen. Vielmehr ist die Vorfrage, ob dem Beschwerdeführer grundsätzlich ein Anspruch zusteht, zu bejahen.</w:t>
      </w:r>
    </w:p>
    <w:p>
      <w:r>
        <w:rPr>
          <w:b/>
        </w:rPr>
        <w:t>E. 6.2</w:t>
      </w:r>
    </w:p>
    <w:p>
      <w:r>
        <w:t>Ob der Beschwerdeführer ein Gesuch um Erteilung einer Aufenthaltsbewilligung bei der zuständigen kantonalen Ausländerbehörde eingereicht hat, hat das SEM nicht überprüft. Ist dem so, fällt die konkrete Beurteilung des geltend gemachten Anspruchs und damit auch der Entscheid über die Wegweisung in die Zuständigkeit der kantonalen Ausländerbehörde (vgl. BVGE 2013/37 E. 4.4; EMARK 2001 Nr. 21 E. 8d). An dieser Stelle erübrigen sich somit weitere Ausführungen zur Durchführbarkeit des Wegweisungsvollzugs. Sollte der - für die ausländerrechtlichen Belange offenbar vertretene - Beschwerdeführer nicht schon ein entsprechendes Gesuch eingereicht haben, bleibt es ihm unbenommen, sich - auch nach Abschluss des Asylverfahrens - bei den zuständigen kantonalen Behörden um die Erteilung einer Aufenthaltsbewilligung zu bemühen.</w:t>
      </w:r>
    </w:p>
    <w:p>
      <w:r>
        <w:rPr>
          <w:b/>
        </w:rPr>
        <w:t>E. 7</w:t>
      </w:r>
    </w:p>
    <w:p>
      <w:r>
        <w:t>Nach dem Gesagten ist die Beschwerde gutzuheissen, die Verfügung vom 11. Mai 2020 in den Dispositivziffern 3-5 (Wegweisung und Wegweisungsvollzug) aufzuheben und die Sache zu erneuter Beurteilung an die Vorinstanz zurückzuweisen.</w:t>
      </w:r>
    </w:p>
    <w:p>
      <w:r>
        <w:rPr>
          <w:b/>
        </w:rPr>
        <w:t>E. 8.1</w:t>
      </w:r>
    </w:p>
    <w:p>
      <w:r>
        <w:t>Bei diesem Ausgang des Verfahrens sind keine Kosten zu erheben (Art. 63 Abs. 1 und 2 VwVG).</w:t>
      </w:r>
    </w:p>
    <w:p>
      <w:r>
        <w:rPr>
          <w:b/>
        </w:rPr>
        <w:t>E. 8.2</w:t>
      </w:r>
    </w:p>
    <w:p>
      <w:r>
        <w:t>Die mit der Beschwerdeschrift gestellten Anträge auf Gewährung der unentgeltlichen Prozessführung im Sinne von Art. 65 Abs. 1 VwVG samt Verzicht auf die Erhebung eines Kostenvorschusses und auf Bestellung eines amtlichen Rechtsbeistands gemäss Art. 102m AsylG sind mit diesem Urteil gegenstandslos geworden.</w:t>
      </w:r>
    </w:p>
    <w:p>
      <w:r>
        <w:rPr>
          <w:b/>
        </w:rPr>
        <w:t>E. 8.3</w:t>
      </w:r>
    </w:p>
    <w:p>
      <w:r>
        <w:t>Dem nicht vertretenen Beschwerdeführer ist keine Entschädigung für die ihm notwendigerweise erwachsenen Parteikosten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