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D-3002/2014 vom 8. August 2014</w:t>
      </w:r>
    </w:p>
    <w:p>
      <w:r>
        <w:t>Bundesverwaltungsgericht, 2014-08-08, DE</w:t>
      </w:r>
    </w:p>
    <w:p>
      <w:r>
        <w:rPr>
          <w:b/>
        </w:rPr>
        <w:t xml:space="preserve">Quelle: </w:t>
      </w:r>
      <w:r>
        <w:t>https://mcp.opencaselaw.ch/entscheid/bvger_D-3002_2014</w:t>
      </w:r>
    </w:p>
    <w:p>
      <w:r>
        <w:t>FR: TAF D-3002/2014 du 8 août 2014</w:t>
      </w:r>
    </w:p>
    <w:p>
      <w:r>
        <w:t>IT: TAF D-3002/2014 del 8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wurde frist- und formgerecht eingereicht. Der Be­schwerdeführer nahm am Verfahren vor der Vorinstanz teil,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Revisionsgesuch wurde hinsichtlich eines neuen Beschwerdeentscheids in der Hauptsache die Anerkennung des Beschwerdeführers als Flüchtling und die vorläufige Aufnahme aufgrund subjektiver Nachfluchtgründe beantragt. Begründet wurde dies mit der Feststellung des EGMR, der Beschwerdeführer sei bei einer Rückkehr in den Sudan aufgrund seiner exilpolitischen Aktivitäten in der Schweiz einem "real risk" von Folter ausgesetzt. Seine exilpolitischen Aktivitäten hätten ihn ausreichend exponiert, um die Aufmerksamkeit der sudanesischen Behörden auf ihn zu lenken. Der EGMR habe dabei Bezug auf das Grundsatzurteil des Bundesverwaltungsgerichts BVGE 2013/21 genommen. Vorliegender Fall sei mit dem im Grundsatzurteil beurteilten vergleichbar. Der Beschwerdeführer habe gemäss rechtskräftiger Einschätzung des EGMR stichhaltige Gründe für seine Gefährdung bei einer Rückkehr in den Sudan allein gestützt auf sein politisches Engagement in der Schweiz dargelegt und somit das Bestehen der Flüchtlingseigenschaft glaubhaft gemacht.</w:t>
      </w:r>
    </w:p>
    <w:p>
      <w:r>
        <w:rPr>
          <w:b/>
        </w:rPr>
        <w:t>E. 4.2</w:t>
      </w:r>
    </w:p>
    <w:p>
      <w:r>
        <w:t>Das zweite Asylgesuch des Beschwerdeführers vom 2. Februar 2009 wurde im Wesentlichen mit seinen exilpolitischen Aktivitäten begründet. Er brachte vor, aktives Mitglied bei der Sudan Liberation Movement/Unity (S.L.M/U) zu sein und als solches regelmässig an Veranstaltungen teilgenommen zu haben, die von den sich in der Schweiz befindenden S.L.M/U-Mitgliedern organisiert worden seien. Zudem sei er Mitglied des im April 2006 gegründeten Vereins Darfur Friedens- und Entwicklungszentrum (DFEZ) geworden. Als dessen Mitglied habe er an exilpolitischen Aktivitäten teilgenommen. Bei einer Rückkehr in den Sudan würde er auf­grund seines Profils die Aufmerksamkeit der sudanesischen Sicherheitsbehörden auf sich ziehen. Da er aus Darfur stamme, sich seit Jahren für die entrechteten Menschen aus dieser Region einsetze, im Ausland um Asyl ersucht habe, sich seit Jahren ausser Landes befinde und ein aktives Mitglied bei der S.L.M/U und dem DFEZ sei, bestehe eine beachtliche Wahrscheinlichkeit dafür, dass er bei einer Rückkehr einer sehr hohen Verfolgungsgefahr ausgesetzt werde.</w:t>
      </w:r>
    </w:p>
    <w:p>
      <w:r>
        <w:rPr>
          <w:b/>
        </w:rPr>
        <w:t>E. 5.1</w:t>
      </w:r>
    </w:p>
    <w:p>
      <w:r>
        <w:t>Wer sich darauf beruft, dass durch sein Verhalten nach der Ausreise aus dem Heimat- oder Herkunftsstaat - insbesondere durch politische Exilaktivitäten - eine Gefährdungssituation erst geschaffen worden ist, sich somit auf das Vorliegen so genannter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Entscheidungen und Mitteilungen der ARK [EMARK]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5.2</w:t>
      </w:r>
    </w:p>
    <w:p>
      <w:r>
        <w:t>Der EGMR hat in seinem rechtskräftigen Urteil vom 7. Januar 2014 festgestellt, der Beschwerdeführer sei während mehreren Jahren Mitglied der S.L.M/U gewesen; seine Aktivitäten hätten mit der Zeit an Bedeutung gewonnen, was durch seine Ernennung zum Menschenrechtsverantwortlichen innerhalb der S.L.M/U und seine Teilnahme an internationalen Sitzungen aufzeige. Er könne den sudanesischen Behörden bekannt sein, da diese die Mitglieder seiner Bewegung überwachten. Gemäss dem EGMR liegen stichhaltige Gründe dafür vor, dass er bei einer Rückkehr in den Sudan aufgrund seiner politischen Aktivitäten bereits am Flughafen verhaftet, verhört und gefoltert werde (vgl. Urteil des EGMR vom 7. Januar 2014 S. 14 ff.).</w:t>
      </w:r>
    </w:p>
    <w:p>
      <w:r>
        <w:rPr>
          <w:b/>
        </w:rPr>
        <w:t>E. 5.3</w:t>
      </w:r>
    </w:p>
    <w:p>
      <w:r>
        <w:t>Der EGMR ist, wie vorstehend ausgeführt, zum Schluss gelangt, es bestünden stichhaltige Gründe (substantial grounds) dafür, dass das sudanesische Regime auf den Beschwerdeführer aufmerksam geworden ist. Diese Feststellung ist für die schweizerischen Asylbehörden bindend. Da somit davon auszugehen ist, es bestehe eine überwiegende Wahrscheinlichkeit dafür, dass er während seines Aufenthalts in der Schweiz vom sudanesischen Regime als aktiver Oppositioneller registriert worden ist, besteht hinreichender Anlass zur Annahme, er habe bei der Rückkehr in den Sudan mit ernsthaften Nachteilen von Seiten des sudanesischen Regimes zu rechnen. Gemäss Auffassung des EGMR genügen seine vor­gebrachten exilpolitischen Aktivitäten in der Schweiz, um eine begründete Furcht vor zukünftiger Verfolgung auszulösen. Da sich die Gefahr der Verfolgung bereits bei einer allfälligen Wiedereinreise in den Sudan zeigen dürfte, besteht kein hinreichender Anlass zur Annahme, ihm stünde eine innerstaatliche Schutzalternative zur Verfügung. Er erfüllt somit die Anforderungen an die Flüchtlingseigenschaft; dies allerdings einzig aufgrund des Vorliegens subjektiver Nachfluchtgründe, was eine Asylgewährung ausschliesst (vgl. Art. 54 AsylG).</w:t>
      </w:r>
    </w:p>
    <w:p>
      <w:r>
        <w:rPr>
          <w:b/>
        </w:rPr>
        <w:t>E. 5.4</w:t>
      </w:r>
    </w:p>
    <w:p>
      <w:r>
        <w:t>Zusammenfassend ist festzustellen, dass es dem Beschwerdeführer gelungen ist, das Bestehen subjektiver Nachfluchtgründe im Sinne von Art. 54 AsylG glaubhaft zu machen, und er damit die Voraussetzungen für die Zuerkennung der Flüchtlingseigenschaft erfüllt.</w:t>
      </w:r>
    </w:p>
    <w:p>
      <w:r>
        <w:rPr>
          <w:b/>
        </w:rPr>
        <w:t>E. 6</w:t>
      </w:r>
    </w:p>
    <w:p>
      <w:r>
        <w:t>Die Beschwerde ist demnach gutzuheissen und die Ziffern 1, 4 und 5 der Verfügung des BFM vom 8. Juni 2012 sind aufzuheben. Das BFM ist anzuweisen, den Beschwerdeführer als Flüchtling anzuerkennen und zufolge Unzulässigkeit des Wegweisungsvollzugs seine vorläufige Aufnahme in der Schweiz anzuordnen.</w:t>
      </w:r>
    </w:p>
    <w:p>
      <w:r>
        <w:rPr>
          <w:b/>
        </w:rPr>
        <w:t>E. 7</w:t>
      </w:r>
    </w:p>
    <w:p>
      <w:r>
        <w:t>Bei diesem Ausgang des Verfahrens sind keine Kosten zu erheben (Art. 63 Abs. 1 und 2 VwVG), weshalb der Antrag, es sei dem Beschwerdeführer die unentgeltliche Prozessführung zu gewähren, gegenstandslos wird.</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auch der Antrag, es sei ihm in der Person des Unterzeichnenden ein unentgeltlicher Rechtsbeistand zu stellen, gegenstandslos. Die durch die Eingabe des Rechtsvertreters vom 8. Mai 2014 entstandenen Kosten wurden bereits im Rahmen des Revisionsverfahrens D-2540/2014 vollumfänglich entschädigt. Im Beschwerdeverfahren D-3648/2012 wurde für den entstandenen Aufwand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1'600.-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