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D-2998/2014 vom 11. März 2016</w:t>
      </w:r>
    </w:p>
    <w:p>
      <w:r>
        <w:t>Bundesverwaltungsgericht, 2016-03-11, DE</w:t>
      </w:r>
    </w:p>
    <w:p>
      <w:r>
        <w:rPr>
          <w:b/>
        </w:rPr>
        <w:t xml:space="preserve">Quelle: </w:t>
      </w:r>
      <w:r>
        <w:t>https://mcp.opencaselaw.ch/entscheid/bvger_D-2998_2014</w:t>
      </w:r>
    </w:p>
    <w:p>
      <w:r>
        <w:t>FR: TAF D-2998/2014 du 11 mars 2016</w:t>
      </w:r>
    </w:p>
    <w:p>
      <w:r>
        <w:t>IT: TAF D-2998/2014 del 11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Schweizerische Bundesversammlung hat am 14. Dezember 2012 eine Revision des Asylgesetzes vom 26. Juni 1998 verabschiedet (AS 2013 4375), welche am 1. Februar 2014 in Kraft getreten ist. Gemäss Abs. 1 der entsprechenden Übergangsbestimmungen gilt für die im Zeitpunkt des Inkrafttretens hängigen Verfahren grundsätzlich das neue Recht.</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Abs. 1 VwVG). Auf die Beschwerde ist einzutreten.</w:t>
      </w:r>
    </w:p>
    <w:p>
      <w:r>
        <w:rPr>
          <w:b/>
        </w:rPr>
        <w:t>E. 3</w:t>
      </w:r>
    </w:p>
    <w:p>
      <w:r>
        <w:t>Mit Beschwerde kann im Bereich des Asylrechts die Verletzung von Bundesrecht (einschliesslich Missbrauch und Überschreiten des Ermessens) sowie die unrichtige und unvollständige Feststellung des rechtserheblichen Sachverhalts gerügt werden (Art. 106 Abs. 1 AsylG); im Bereich des Ausländerrechts kommt Art. 49 VwVG zur Anwendung (vgl. BVGE 2014/26 E. 5).</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5.1</w:t>
      </w:r>
    </w:p>
    <w:p>
      <w:r>
        <w:t>In der Rechtsmitteleingabe wandte der Beschwerdeführer vorab ein, sowohl bei der BzP als auch bei der Anhörung sei es zu Missverständnissen und Übersetzungsfehlern gekommen. Er habe stets dieselben Aussagen gemacht. Demnach bestünden keine Widersprüche, sondern es handle sich um Missverständnisse und falsche Übersetzungen (vgl. Beschwerde S. [...]). Die Überprüfung der Protokolle des erstinstanzlichen Asylverfahrens ergibt indessen, dass der Einwand des Beschwerdeführers nicht zutrifft. Diesbezüglich führte die Vorinstanz in ihrer Vernehmlassung zu Recht aus, der Beschwerdeführer habe weder im Rahmen der BzP noch der Anhörung in irgendeiner Art zum Ausdruck gebracht, dass es Probleme mit der Übersetzung insgesamt oder den Dolmetschern im Besonderen gegeben habe; beide Male habe er festgehalten, dass er den jeweiligen Dolmetscher perfekt beziehungsweise gut verstehe, da er dieselbe Sprache spreche (vgl. BFM-act. [...]), und auch von Seiten der Hilfswerksvertretung habe es diesbezüglich keine Bemerkung gegeben; zudem bestünden zwischen den syrischen, türkischen und irakischen "Dialekten" der kurdischen Sprache keine derart grossen Unterschiede, welche zu den vom Beschwerdeführer monierten Verständigungsschwierigkeiten führen würden (vgl. Vernehmlassung des BFM vom 18. Juni 2014). Der Beschwerdeführer muss sich mithin bei seinen protokollierten Aussagen behaften lassen. An der Einschätzung der Vorinstanz hinsichtlich der kurdischen Dialekte und Sprache vermag die gegenteilige Ansicht des Beschwerdeführers in dessen Replik vom 4. Juli 2014 nichts zu ändern.</w:t>
      </w:r>
    </w:p>
    <w:p>
      <w:r>
        <w:rPr>
          <w:b/>
        </w:rPr>
        <w:t>E. 5.2</w:t>
      </w:r>
    </w:p>
    <w:p>
      <w:r>
        <w:t>Die Überprüfung der Akten ergibt, dass die vorstehend in E. 4.3 aufgeführten Kriterien der Glaubhaftmachung mit Blick auf die geltend gemachten Verfolgungsumstände nicht als erfüllt zu erachten sind. Deshalb ist zwecks Vermeidung von Wiederholungen vorweg auf die diesbezüglich zutreffenden Erwägungen in der angefochtenen Verfügung zu verweisen (vgl. Sachverhalt Bst. B). Daran vermögen die Ausführungen in der Beschwerdeeingabe nichts zu ändern, zumal sich der Beschwerdeführer darin im Wesentlichen darauf beschränkt, an seinen bisherigen Vorbringen festzuhalten und diese zu wiederholen. Damit vermag er beispielsweise auch nicht ansatzweise zu erklären, weshalb er einmal aussagte, sich rund 20 Tage vor seiner Ausreise ununterbrochen im Dorf des (...) versteckt gehalten zu haben, während er an anderer Stelle ausführte, noch drei Tage vor der Ausreise an einer Demonstration im F._______ mitbeteiligt gewesen zu sein (vgl. BFM-act. [...]). Insbesondere ist sein (in der Beschwerde wiederholter) Einwand als unbehelflich zu qualifizieren, wonach er, nachdem die von ihm und seinen Freunden ausgeübten Aktivitäten aufgedeckt und sie von den Behörden identifiziert worden seien, aus seinem Versteck heraus weiterhin an (von den Behörden regelmässig observierten) Demonstrationen teilgenommen habe, jedoch nur noch am Abend beziehungsweise des Nachts und zum Teil mit verdecktem Gesicht, um nicht erkannt oder gefasst zu werden. Im Übrigen führte das BFM in seiner Vernehmlassung zutreffend aus, zusätzlich zu den in der angefochtenen Verfügung nicht abschliessend aufgezählten Unglaubhaftigkeitselementen seien die Angaben des Beschwerdeführers zu den Umständen der Verhaftung seiner (...) Mitstreiter und insbesondere seine Erklärung dafür, dass er damals nicht festgenommen worden sei, äusserst unsubstanziiert ausgefallen.</w:t>
      </w:r>
    </w:p>
    <w:p>
      <w:r>
        <w:rPr>
          <w:b/>
        </w:rPr>
        <w:t>E. 5.3</w:t>
      </w:r>
    </w:p>
    <w:p>
      <w:r>
        <w:t>Gemäss der Übersetzung der Kopie des als Beweismittel im Beschwerdeverfahren eingereichten "Haft- und Zuführungsbefehls" der Zweigstelle H._______ der Militärsicherheit vom (...) 2012 ist der Beschwerdeführer gestützt auf den Tatbestand "Demonstration ohne Bewilligung mehr als einmal gemäss Artikel (...) des Strafgesetzbuches in Haft zu nehmen und ordnungsgemäss der Untersuchungsbehörde zu übergeben." Der Beschwerdeführer führte dazu in seinem Schreiben vom 2. Juni 2015 aus, das Dokument sei mit vielen weiteren Dokumenten aus der erwähnten Zweigstelle "(...)" worden und durch Drittpersonen in die Hand seines (...) gelangt. Es könne nicht im Original eingereicht werden, da nur Kopien "(...)" worden seien (vgl. Schreiben des Beschwerdeführers vom 2. Juni 2015 und Übersetzung "Haft- und Zuführungsbefehl" vom 1. Juni 2015). Bereits aufgrund der als diffus zu umschreibenden Umstände, wie eine Kopie des Dokuments in den Besitz des (...) des Beschwerdeführers und nahezu drei Jahre nach dem Ausstellungsdatum in dessen eigenen Besitz gelangte, ist dieses Schriftstück allenfalls als Gefälligkeitsdokument ohne Beweiswert zu qualifizieren. Er vermag deshalb daraus in Bezug auf die von ihm geltend gemachten Verfolgungsvorbringen nichts zu seinen Gunsten abzuleiten.</w:t>
      </w:r>
    </w:p>
    <w:p>
      <w:r>
        <w:rPr>
          <w:b/>
        </w:rPr>
        <w:t>E. 5.4</w:t>
      </w:r>
    </w:p>
    <w:p>
      <w:r>
        <w:t>Nach dem vorstehend Gesagten vermögen die vom Beschwerdeführer für den Zeitraum bis zur Ausreise aus dem Heimatstaat geltend gemachten Verfolgungsvorbringen den Anforderungen an die Glaubhaftigkeit nicht zu genügen. Deshalb kann ihm für den Zeitpunkt der Ausreise aus Syrien keine begründete Furcht vor Verfolgung zuerkannt werden.</w:t>
      </w:r>
    </w:p>
    <w:p>
      <w:r>
        <w:rPr>
          <w:b/>
        </w:rPr>
        <w:t>E. 6.1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 (vgl. BVGE 2010/44 E.3.5 m.w.H.).</w:t>
      </w:r>
    </w:p>
    <w:p>
      <w:r>
        <w:rPr>
          <w:b/>
        </w:rPr>
        <w:t>E. 6.2.1</w:t>
      </w:r>
    </w:p>
    <w:p>
      <w:r>
        <w:t>Asylsuchende, die subjektive Nachfluchtgründe im Sinne von exilpolitischen Aktivitäten geltend machen, haben begründete Furcht vor künftiger Verfolgung, wenn der Heimat- oder Herkunftsstaat mit erheblicher Wahrscheinlichkeit von ihren Aktivitäten im Ausland erfahren hat und sie deshalb bei einer Rückkehr in flüchtlingsrechtlich relevanter Weise verfolgen würde (vgl. BVGE 2009/29 E. 5.1 S. 376 f.; BVGE 2009/28 E. 7.1 S. 352; Entscheidungen und Mitteilungen der Schweizerischen Asylrekurskommission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6.2.2</w:t>
      </w:r>
    </w:p>
    <w:p>
      <w:r>
        <w:t>Nach dem Urteil des Bundesverwaltungsgerichts D-3839/2013 vom 28. Oktober 2015 (als Referenzurteil publiziert)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wird davon ausgegangen, dass sich die syrischen Geheimdienste angesichts des Überlebenskampfs des Regimes primär auf die Situation im Heimatland konzentrieren (vgl. a.a.O. E. 6.3.5 S. 18), und der Schwerpunkt ihrer Aktivitäten im Ausland bei einer selektiven und gezielten Überwachung der im Ausland lebenden Opposition liegt (vgl. Urteile des BVGer E-6535/2014 vom 24. Juni 2015 E. 6.4, D-2291/2014 vom 10. Juni 2015 E. 8.4,D-6772/2013 vom 1. April 2015 E. 7.2.3). Die Annahme, die betroffene Person habe die Aufmerksamkeit der syrischen Geheimdienste in einer Weise auf sich gezogen, die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6.2.3.1</w:t>
      </w:r>
    </w:p>
    <w:p>
      <w:r>
        <w:t>Folglich ist vorliegend zu prüfen, ob die vom Beschwerdeführer geltend gemachten exilpolitischen Tätigkeiten den genannten Anforderungen genügen.</w:t>
      </w:r>
    </w:p>
    <w:p>
      <w:r>
        <w:rPr>
          <w:b/>
        </w:rPr>
        <w:t>E. 6.2.3.2</w:t>
      </w:r>
    </w:p>
    <w:p>
      <w:r>
        <w:t>Der Beschwerdeführer brachte erstmals im Rahmen der Beschwerde vor, er nehme in der Schweiz weiterhin an den Protestaktionen teil, welche gegen das syrische Regime gerichtet seien und zu dessen Sturz aufforderten (vgl. Beschwerde S. [...]). Diesbezüglich führte das BFM in seiner Vernehmlassung zutreffend aus, der Beschwerdeführer habe im bisherigen Verfahren zu keinem Zeitpunkt exilpolitische Tätigkeiten geltend gemacht und bis anhin keinerlei Beweise für diese Aktivitäten eingereicht (vgl. Vernehmlassung des BFM vom 18. Juni 2014). Dem ist beizufügen, dass er bis anhin auch nicht dargelegt hat, inwiefern er sich bei seinen exilpolitischen Aktivitäten exponiere.</w:t>
      </w:r>
    </w:p>
    <w:p>
      <w:r>
        <w:rPr>
          <w:b/>
        </w:rPr>
        <w:t>E. 6.2.3.3</w:t>
      </w:r>
    </w:p>
    <w:p>
      <w:r>
        <w:t>Da der Beschwerdeführer keine Vorverfolgung glaubhaft machen konnte (vgl. vorstehend E. 5.1-5.4), ist nicht davon auszugehen, dass er vor dem Verlassen Syriens als regimefeindliche Person ins Blickfeld der Behörden geraten ist. Aufgrund der Aktenlage ist der Schluss zu ziehen, dass er nicht der Kategorie von Personen zuzurechnen ist, die wegen ihrer exilpolitischen Tätigkeiten oder der Funktionen, die sie in exilpolitischen Organisationen innehaben, als ernsthafte und potentiell gefährliche Regimegegner die Aufmerksamkeit der syrischen Geheimdienste auf sich gezogen haben könnten. Mit den vagen Angaben in der Beschwerde gelingt es ihm nicht, zu belegen oder glaubhaft zu machen, dass er innerhalb einer der exilpolitisch tätigen Organisationen und Parteien eine exponierte Kaderstelle innehat oder nur schon regelmässig an exilpolitischen Veranstaltungen oder Kundgebungen teilnimmt. Mit der pauschal geltend gemachten Teilnahme an Protestaktionen gegen das syrische Regime übersteigt sein exilpolitisches Engagement - so es sich dabei überhaupt um ein solches handelt - die Schwelle der massentypischen Erscheinungsformen exilpolitischen Protests syrischer Staatsangehöriger klarerweise nicht. Das BFM führte denn auch in seiner Vernehmlassung zutreffend aus, die geltend gemachte exilpolitische Tätigkeit sei nicht geeignet, die Aufmerksamkeit der syrischen Behörden gezielt auf ihn zu lenken, und es ergäben sich keine Hinweise dafür, dass er sich besonders profiliert beziehungsweise exponiert habe (vgl. Vernehmlassung des BFM vom 18. Juni 2014). Es kann auch nicht davon ausgegangen werden, dass er innerhalb der exilpolitischen Szene eine bedeutsame Rolle einnimmt, aufgrund derer er als ausserordentlich engagierter und exponierter Regimegegner aufgefallen sein könnte. Deshalb ist es nicht wahrscheinlich, dass seitens des syrischen Regimes ein besonderes Interesse an seiner Person bestehen könnte (vgl. D-3839/2013 E. 6.4.2).</w:t>
      </w:r>
    </w:p>
    <w:p>
      <w:r>
        <w:rPr>
          <w:b/>
        </w:rPr>
        <w:t>E. 6.3</w:t>
      </w:r>
    </w:p>
    <w:p>
      <w:r>
        <w:t>Unter Berücksichtigung der gesamten Umstände folgt, dass sich der Beschwerdeführer weder auf das Vorliegen von objektiven noch von subjektiven Nachfluchtgründen berufen kann.</w:t>
      </w:r>
    </w:p>
    <w:p>
      <w:r>
        <w:rPr>
          <w:b/>
        </w:rPr>
        <w:t>E. 7</w:t>
      </w:r>
    </w:p>
    <w:p>
      <w:r>
        <w:t>Somit ergibt sich, dass insgesamt keine asylrechtlich relevanten Verfolgungsgründe ersichtlich sind, weshalb die Vorinstanz zu Recht die Flüchtlingseigenschaft des Beschwerdeführers verneint und sein Asylgesuch abgelehnt hat. Es erübrigt sich, auf die weiteren Ausführungen in den auf Beschwerdeebene gemachten Eingaben und die übrigen Beweismittel detaillierter einzugehen, da sie an der vorliegenden Würdigung des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Da das BFM in seiner Verfügung vom 1. Mai 2014 die vorläufige Aufnahme des Beschwerdeführers in der Schweiz anordnete,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dessen Kosten dem Beschwerdeführer aufzuerlegen (Art. 63 Abs. 1 und 5 VwVG). Nachdem sich die Beschwerde jedoch zum Zeitpunkt ihrer Anhängigmachung nicht als aussichtslos erwiesen hat und aufgrund der Aktenlage nach wie vor von der prozessualen Bedürftigkeit des Beschwerdeführers auszugehen ist, ist in Gutheissung des entsprechenden Gesuchs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