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D-2994/2015 vom 29. Juni 2015</w:t>
      </w:r>
    </w:p>
    <w:p>
      <w:r>
        <w:t>Bundesverwaltungsgericht, 2015-06-29, DE</w:t>
      </w:r>
    </w:p>
    <w:p>
      <w:r>
        <w:rPr>
          <w:b/>
        </w:rPr>
        <w:t xml:space="preserve">Quelle: </w:t>
      </w:r>
      <w:r>
        <w:t>https://mcp.opencaselaw.ch/entscheid/bvger_D-2994_2015</w:t>
      </w:r>
    </w:p>
    <w:p>
      <w:r>
        <w:t>FR: TAF D-2994/2015 du 29 juin 2015</w:t>
      </w:r>
    </w:p>
    <w:p>
      <w:r>
        <w:t>IT: TAF D-2994/2015 del 29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(vgl. BVGE 2014/1 E. 1.3). Auf die frist- und formgerecht eingereichte Beschwerde ist somit einzutreten (Art. 50 und Art. 52 Abs. 1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w:t>
      </w:r>
    </w:p>
    <w:p>
      <w:r>
        <w:t>In der Regel entscheidet das Bundesverwaltungsgericht in der Besetzung mit drei Richtern oder drei Richterinnen (Art. 21 Abs. 1 VGG). Gestützt auf Art. 57 Abs. 1 VwVG i.V.m. Art. 37 VGG wird vorliegend jedoch auf einen Schriftenwechsel verzichtet, da sich die Beschwerde, wie nachfolgend aufgezeigt, als unbegründet erweist.</w:t>
      </w:r>
    </w:p>
    <w:p>
      <w:r>
        <w:rPr>
          <w:b/>
        </w:rPr>
        <w:t>E. 4</w:t>
      </w:r>
    </w:p>
    <w:p>
      <w:r>
        <w:t>Das SEM hat in seiner angefochtenen Verfügung zutreffend bemerkt, einerseits sei die Antragstellung beim schweizerischen Generalkonsulat in Istanbul erst nach Aufhebung der Weisung vom 4. September 2013 erfolgt, andererseits beziehe sich die Erteilung von humanitären Visa gemäss der vom Bundesrat am 6. März 2015 beschlossenen weiteren Massnahme zur Unterstützung der Opfer aus dem Syrienkonflikt ausschliesslich auf die engsten Familienangehörigen (Ehegatten und minderjährige Kinder) von in der Schweiz vorläufig aufgenommenen Vertriebenen. Die Gesuchsteller sind offenbar die Neffen des Beschwerdeführers, welchem am 16. Mai 2013 Asyl gewährt worden war, und gehören damit nicht zu dessen engsten Familienangehörigen. Die Visumsanträge der Gesuchsteller wurden daher zu Recht nach den ordentlichen Einreisebestimmungen der Verordnung über die Einreise und die Visumserteilung (VEV, SR 142.204) behandelt.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5.2</w:t>
      </w:r>
    </w:p>
    <w:p>
      <w:r>
        <w:t>Als syrische Staatsangehörige beziehungsweise Personen ohne Staatsangehörigkeit können sich die Gesuchsteller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5.3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Art. 14 Abs. 1 Bst. a-c und Art. 21 Abs. 1 Visakodex).</w:t>
      </w:r>
    </w:p>
    <w:p>
      <w:r>
        <w:rPr>
          <w:b/>
        </w:rPr>
        <w:t>E. 5.4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6</w:t>
      </w:r>
    </w:p>
    <w:p>
      <w:r>
        <w:t>Die Gesuchsteller unterliegen als syrische Staatsangehörige beziehungsweise Personen ohne Staatsangehörigkeit ge­mäss Art. 1 Abs. 1 VO Nr. 539/2001 in Verbindung mit Anhang I einer Visumspflicht für den Schengen-Raum. Das SEM hat die Ausstellung von für den gesamten Schengen-Raum gültigen Visa zu Recht abgelehnt. So wurde in zutreffender Weise ausgeführt, dass die Rückreise der Gesuchsteller nach Ablauf der Geltungsdauer der Visa nicht gesichert sei. Diese Zweifel werden durch die Ausführungen in der Einsprache vom 11. März 2015 und in der Beschwerde vom 11. Mai 2015 bestärkt, wonach die minderjährigen Gesuchsteller nicht nur in Syrien, sondern auch in der Türkei gefährdet seien (vgl. Beschwerde vom 11. Mai 2015 S. 2 f.). Der Umstand, dass die Wiederausreise aus der Schweiz sinngemäss von einer Verbesserung der Situation in Syrien und in der Türkei abhängig gemacht wird (vgl. Darlegungen in der Einsprache vom 11. März 2015), lässt ebenfalls nicht darauf schliessen, dass die Gesuchsteller vor Ablauf der Visa den Schengen-Raum zu verlassen gedenken, zumal realistischerweise nicht mit einer markanten Verbesserung der Lage innerhalb der Geltungsdauer der Visa gerechnet werden kann.</w:t>
      </w:r>
    </w:p>
    <w:p>
      <w:r>
        <w:rPr>
          <w:b/>
        </w:rPr>
        <w:t>E. 7</w:t>
      </w:r>
    </w:p>
    <w:p>
      <w:r>
        <w:t>Im Folgenden ist daher zu prüfen, ob das SEM zu Recht auch die Verweigerung von Einreisevisa in die Schweiz aus humanitären Gründen bestätigt hat.</w:t>
      </w:r>
    </w:p>
    <w:p>
      <w:r>
        <w:rPr>
          <w:b/>
        </w:rPr>
        <w:t>E. 7.1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(heute: SEM) ein Einreisevisum zu erteilen (vgl. Art. 2 Abs. 4 VEV [in Kraft getreten am 1. Oktober 2012]). Sobald sich der Inhaber eines Visums aus humanitären Gründen in der Schweiz befindet, muss er ein Asylgesuch einreichen. Falls er dies unterlässt, hat er die Schweiz nach drei Monaten zu verlassen. 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SEM]).</w:t>
      </w:r>
    </w:p>
    <w:p>
      <w:r>
        <w:rPr>
          <w:b/>
        </w:rPr>
        <w:t>E. 7.2</w:t>
      </w:r>
    </w:p>
    <w:p>
      <w:r>
        <w:t>Das Bundesverwaltungsgericht gelangt nach Prüfung der Akten zum Schluss, dass vorliegend die Voraussetzungen für die Erteilung eines humanitären Visums nicht erfüllt sind.</w:t>
      </w:r>
    </w:p>
    <w:p>
      <w:r>
        <w:rPr>
          <w:b/>
        </w:rPr>
        <w:t>E. 7.2.1</w:t>
      </w:r>
    </w:p>
    <w:p>
      <w:r>
        <w:t>Die Gesuchsteller halten sich seit einiger Zeit (mindestens seit Ende 2014) nicht mehr in Syrien auf, sondern haben Zuflucht in der Türkei gefunden.</w:t>
      </w:r>
    </w:p>
    <w:p>
      <w:r>
        <w:rPr>
          <w:b/>
        </w:rPr>
        <w:t>E. 7.2.2</w:t>
      </w:r>
    </w:p>
    <w:p>
      <w:r>
        <w:t>Die Zahl der syrischen Bürgerkriegsflüchtlinge in der Türkei ist gemäss jüngeren Berichten auf mittlerweile rund 1,5 Mio. Personen angestiegen. In der Grenzregion zu Syrien hat die türkische Regierung erfolgreich verschiedene Flüchtlingslager aufgebaut, welche gemäss den Erkenntnissen des Bundesverwaltungsgerichts - aber entgegen der in den Eingaben des Beschwerdeführers vertretenen Auffassung - gut ausgestattet sind. Die Mehrheit der syrischen Bürgerkriegsflüchtlinge lebt indessen nicht in solchen Lagern, sondern in der Umgebung grösserer Städte bis weit in den Westen der Türkei. Der Zugang zu angemessener Versorgung gestaltet sich für diese Flüchtlinge zum Teil deutlich schwieriger als in den vom türkischen Staat organisierten Flüchtlingslagern.</w:t>
      </w:r>
    </w:p>
    <w:p>
      <w:r>
        <w:rPr>
          <w:b/>
        </w:rPr>
        <w:t>E. 7.2.3</w:t>
      </w:r>
    </w:p>
    <w:p>
      <w:r>
        <w:t>Vor diesem Hintergrund ist nicht in Abrede zu stellen, dass sich die Lebensumstände in der Türkei für syrische Bürgerkriegsflüchtlinge als schwierig darstellen können. Allein dieser Aspekt ist jedoch nicht ausschlaggebend. Als massgeblich erweist sich, dass in vorliegender Sache - im Sinne der vorinstanzlichen Erwägungen (vgl. insbesondere S. 3 der angefochtenen Verfügung) - keine Hinweise ersichtlich sind, wonach die Lebensbedingungen der Gesuchsteller im Vergleich zum Schicksal vieler anderer, sich in ähnlicher Lage befindlicher Personen in gesteigertem Mass bedroht oder in Frage gestellt wären. Insbesondere bestehen auch keine Anhaltspunkte, dass die Gesuchsteller unter gesundheitlichen Problemen leiden würden. Schliesslich ist an dieser Stelle darauf hinzuweisen, dass der Beschwerdeführer in seiner Antwort auf die ihm vom schweizerischen Generalkonsulat in Istanbul mit Mail vom 4. Dezember 2014 gestellten Fragen erklärte, ein Gesuch für seinen Bruder und dessen Familie einreichen zu wollen (vgl. vorinstanzliche Akten S. 20), woraus zu schliessen ist, dass die minderjährigen Gesuchsteller (bei denen es sich offenbar um die Neffen des Beschwerdeführers handelt), in der Türkei nicht ganz auf sich allein gestellt sind.</w:t>
      </w:r>
    </w:p>
    <w:p>
      <w:r>
        <w:rPr>
          <w:b/>
        </w:rPr>
        <w:t>E. 7.3</w:t>
      </w:r>
    </w:p>
    <w:p>
      <w:r>
        <w:t>Nach dem Gesagten ergibt sich, dass das SEM zu Recht die Verweigerung von Einreisevisa in die Schweiz aus humanitären Gründen bestätigt hat.</w:t>
      </w:r>
    </w:p>
    <w:p>
      <w:r>
        <w:rPr>
          <w:b/>
        </w:rPr>
        <w:t>E. 8</w:t>
      </w:r>
    </w:p>
    <w:p>
      <w:r>
        <w:t>Die angefochtene Verfügung ist somit im Lichte von Art. 49 VwVG nicht zu beanstanden. Die Beschwerde ist abzuweisen.</w:t>
      </w:r>
    </w:p>
    <w:p>
      <w:r>
        <w:rPr>
          <w:b/>
        </w:rPr>
        <w:t>E. 9</w:t>
      </w:r>
    </w:p>
    <w:p>
      <w:r>
        <w:t>Bei diesem Ausgang des Verfahrens wären die Kosten dem Beschwerdeführer aufzuerlegen (Art. 63 Abs. 1 und 5 VwVG). In Anwendung von Art. 63 Abs. 1 in fine VwVG ist indes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