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D-2993/2024 vom 10. Mai 2024</w:t>
      </w:r>
    </w:p>
    <w:p>
      <w:r>
        <w:t>Bundesverwaltungsgericht, 2024-05-10, DE</w:t>
      </w:r>
    </w:p>
    <w:p>
      <w:r>
        <w:rPr>
          <w:b/>
        </w:rPr>
        <w:t xml:space="preserve">Quelle: </w:t>
      </w:r>
      <w:r>
        <w:t>https://mcp.opencaselaw.ch/entscheid/bvger_D-2993_2024_d20240510</w:t>
      </w:r>
    </w:p>
    <w:p>
      <w:r>
        <w:t>FR: TAF D-2993/2024 du 10 mai 2024</w:t>
      </w:r>
    </w:p>
    <w:p>
      <w:r>
        <w:t>IT: TAF D-2993/2024 del 10 maggio 2024</w:t>
      </w:r>
    </w:p>
    <w:p>
      <w:pPr>
        <w:pStyle w:val="Heading2"/>
      </w:pPr>
      <w:r>
        <w:t>Regeste</w:t>
      </w:r>
    </w:p>
    <w:p>
      <w:r>
        <w:t>Asyl und Wegweisung (beschleunigtes Verfahren) | Asyl und Wegweisung (beschleunigtes Verfahren); Verfügung des SEM vom 10.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 liegend – endgültig (vgl. Art. 83 Bst. d Ziff. 1 BGG; Art. 105 AsylG). Der Be- schwerdeführer ist als Verfügungsadressat zur Beschwerdeführung legiti- miert (Art. 48 VwVG).</w:t>
      </w:r>
    </w:p>
    <w:p>
      <w:r>
        <w:t>D-2993/2024 Seite 4</w:t>
      </w:r>
    </w:p>
    <w:p>
      <w:r>
        <w:rPr>
          <w:b/>
        </w:rPr>
        <w:t>E. 1.2</w:t>
      </w:r>
    </w:p>
    <w:p>
      <w:r>
        <w:t>Die Eingabe des Beschwerdeführers beruht auf einer Rechtsmittelvor- lage für Nichteintretensentscheide. Unter Berücksichtigung der Umstände, dass an eine Laienbeschwerde keine hohen Anforderungen zu stellen sind und aus den handschriftlichen Ausführungen klar hervorgeht, dass die Auf- hebung der angefochtenen Verfügung beantragt und diese im Asyl- und Wegweisungspunkt angefochten wird, ist auf die frist- und (im Übrigen) formgerecht eingereichte Beschwerde einzutreten (Art. 108 Abs. 1 AsylG und Art. 52 Abs. 1 VwVG).</w:t>
      </w:r>
    </w:p>
    <w:p>
      <w:r>
        <w:rPr>
          <w:b/>
        </w:rPr>
        <w:t>E. 1.3</w:t>
      </w:r>
    </w:p>
    <w:p>
      <w:r>
        <w:t>Soweit in der Rechtsmitteleingabe beantragt wird, der Beschwerde sei die aufschiebende Wirkung zu gewähren, kann festgestellt werden, dass ihr von Gesetzes wegen aufschiebende Wirkung zukommt (vgl. Art. 6 AsylG i.V.m. Art. 55 Abs. 1 VwVG) und das SEM diese vorliegend nicht entzogen hat. Auf den entsprechenden Antrag ist daher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Das Bundesverwaltungsgericht gelangt nach Prüfung der Akten zum Schluss, dass das SEM zutreffend festgehalten hat, die Vorbringen des Beschwerdeführers genügten den Anforderungen an die Flüchtlingseigen- schaft im Sinne von Art. 3 AsylG nicht. Die Rechtsmitteleingabe hält dem nichts Stichhaltiges entgegen. Der Beschwerdeführer beschränkt sich grösstenteils darauf, den aktenkundigen Sachverhalt zu wiederholen.</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D-2993/2024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Hinsichtlich der geltend gemachten gewalttätigen Übergriffe und Be- drohungen durch unbekannte Drittpersonen (vgl. SEM-Akte […]-15/10 [nachfolgend A15] F44 ff.) geht auch das Bundesverwaltungsgericht von der grundsätzlichen Schutzfähigkeit und -willigkeit der türkischen Strafver- folgungs- und Justizbehörden aus (vgl. etwa die Urteile des BVGer D-6861/2023 vom 25. April 2024 E. 7.3, D-7268/2023 vom 24. Januar 2024 E. 6.2, E-5733/2023 vom 28. November 2023 E. 6.4 und E-4548/2020 vom 23. Oktober 2023 E. 5.1). Sodann geht aus den vorliegenden Akten hervor, dass sich die türkischen Behörden dem Beschwerdeführer gegenüber in der Vergangenheit als schutzfähig und -willig zeigten (vgl. SEM-Akte A15 F44), weshalb nicht auf eine generelle Schutzverweigerung geschlossen werden kann. Der Um- stand, dass sich der Beschwerdeführer umfassendere Schutzmassnah- men gewünscht hätte, vermag daran nichts zu ändern. Etwas anderes ergibt sich auch nicht aus den eingereichten Beschwerden an die Kommu- nikationsabteilung des Staatspräsidiums (vgl. Prozessgeschichte, Bst. A.c), zumal diese lediglich die Version des Beschwerdeführers wieder- geben. Auch die in der Beschwerde angerufenen Medienberichte (vgl. Pro- zessgeschichte, Bst. E.) vermögen die Vermutung der bestehenden Schutzfähigkeit und -willigkeit der türkischen Behörden nicht umzustossen,</w:t>
      </w:r>
    </w:p>
    <w:p>
      <w:r>
        <w:t>D-2993/2024 Seite 6 zumal sie keinen konkreten Bezug zur Person des Beschwerdeführers und dessen individuellen Asylvorbringen aufweisen. Entgegen der Auffassung des Beschwerdeführers hat das SEM im Übrigen zu Recht ergänzend da- rauf hingewiesen, dass er sich alternativ auch in einer anderen Region in der Türkei aufhalten könnte, falls er sich in B._______ – am Ort der Über- griffe – trotz der Schutzmassnahmen unsicher fühlen sollte.</w:t>
      </w:r>
    </w:p>
    <w:p>
      <w:r>
        <w:rPr>
          <w:b/>
        </w:rPr>
        <w:t>E. 4.4</w:t>
      </w:r>
    </w:p>
    <w:p>
      <w:r>
        <w:t>Soweit der Beschwerdeführer geltend macht, als kurdischer Alevit wie- derholt Benachteiligungen im Alltag ausgesetzt gewesen zu sein (vgl. SEM-Akte A15 F44 f., F59 f.), ist in Übereinstimmung mit dem SEM festzu- halten, dass die geltend gemachten Probleme – wie Schikanen in der Schule und am Arbeitsplatz – in ihrer Intensität nicht über die Nachteile hinausgehen, welche weite Teile der kurdischen und alevitischen Bevölke- rung in der Türkei in ähnlicher Weise treffen und gemäss gefestigter Praxis für sich allein nicht zur Anerkennung der Flüchtlingseigenschaft führen (vgl. etwa Urteile des BVGer E-182/2021 vom 30. April 2024 E. 6.1 und E- 1037/2024 vom 12. März 2024 E. 7.3). Im Übrigen gelten für die Annahme einer Kollektivverfolgung praxisgemäss sehr hohe Anforderungen (vgl. BVGE 2014/32 E. 7.2 und 2013/21 E. 9.1), welche im Falle der Kurden und Aleviten in der Türkei nicht erfüllt sind; dies auch unter Berücksichtigung der jüngsten politischen Entwicklungen im Land (vgl. statt vieler Urteile BVGer E-182/2021 vom 30. April 2024 E. 6.1, D-5067/2023 vom 29. April 2024 E. 7.4 und E-445/2024 vom 4. April 2024 E. 6.3).</w:t>
      </w:r>
    </w:p>
    <w:p>
      <w:r>
        <w:rPr>
          <w:b/>
        </w:rPr>
        <w:t>E. 4.5</w:t>
      </w:r>
    </w:p>
    <w:p>
      <w:r>
        <w:t>Das SEM hat demzufolge die Flüchtlingseigenschaft des Beschwerde- führers zu Recht verneint und sein Asylgesuch folgerichtig abgelehnt.</w:t>
      </w:r>
    </w:p>
    <w:p>
      <w:r>
        <w:rPr>
          <w:b/>
        </w:rPr>
        <w:t>E. 5</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w:t>
      </w:r>
    </w:p>
    <w:p>
      <w:r>
        <w:t>D-2993/2024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6.2.2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t>D-2993/2024 Seite 8</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Gemäss konstanter Praxis ist auch unter Berücksichtigung der Ent- wicklungen im Nachgang des Putschversuchs vom Juli 2016 nicht davon auszugehen, dass in der Türkei eine landesweite Situation allgemeiner Ge- walt herrscht (vgl. Referenzurteil E-1948/2018 vom 12. Juni 2018 E. 7.3 sowie statt vieler Urteile des BVGer E-87/2023 vom 29. März 2023 E.8.3.1; E-6224/2019 vom 19. April 2023 E. 8.3.2, je m.w.H.). Davon ausgenommen sind die Provinzen Hakkari und Sirnak; den Wegweisungsvollzug dorthin erachtet das Bundesverwaltungsgericht aufgrund einer anhaltenden Situa- tion allgemeiner Gewalt als unzumutbar (vgl. BVGE 2013/2 E. 9.6). Der Beschwerdeführer stammt indessen nicht aus einer dieser zwei Provinzen, sondern lebte zuletzt in der Provinz B._______ (vgl. SEM-Akte A15 F6 ff.).</w:t>
      </w:r>
    </w:p>
    <w:p>
      <w:r>
        <w:rPr>
          <w:b/>
        </w:rPr>
        <w:t>E. 6.3.2</w:t>
      </w:r>
    </w:p>
    <w:p>
      <w:r>
        <w:t>Auch sprechen – wie vom SEM zutreffend dargelegt – keine individu- ellen Gründe gegen einen Wegweisungsvollzug. Beim Beschwerdeführer handelt es sich um einen (…)-jährigen Mann, der in der Türkei mit seinen nächsten Familienangehörigen ([…] und [...]) auf ein tragfähiges Bezie- hungsnetz zurückgreifen kann (vgl. SEM-Akte A15 F14, F18, F38). Weiter hat er in seinem Heimatland verschiedene Arbeitserfahrungen gesammelt (vgl. SEM-Akte A15 F27-29), was ihm beim Aufbau einer neuen wirtschaft- lichen Existenz entgegenkommen wird. Eigenen Angaben zufolge lebte er vor der Ausreise stets in guten finanziellen Verhältnissen und war auch in der Lage, die Reisekosten selbst zu bezahlen (vgl. SEM-Akte A15 F16, F31 ff.). Was die geltend gemachten psychischen Probleme anbelangt (vgl. SEM-Akte A15 F40), bleiben diese auch auf Beschwerdeebene unbelegt. Im Übrigen weist das türkische Gesundheitssystem grundsätzlich westeu- ropäische Standards auf und verfügt über eine hinreichende medizinische und psychiatrisch-psychologische Versorgung (vgl. u.a. Urteil des BVGer E-158/2024 vom 4. April 2024 E. 9.4.2). 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D-2993/2024 Seite 9</w:t>
      </w:r>
    </w:p>
    <w:p>
      <w:r>
        <w:rPr>
          <w:b/>
        </w:rPr>
        <w:t>E. 6.5</w:t>
      </w:r>
    </w:p>
    <w:p>
      <w:r>
        <w:t>Zusammenfassend hat das SEM den Wegweisungsvollzug zu Recht als zulässig, zumutbar und möglich bezeichnet. Die Anordnung der vorläu- figen Aufnahme fällt somit ausser Betracht (Art. 83 Abs. 1–4 AIG). 7. Aus diesen Erwägungen ergibt sich, dass die angefochtene Verfügung Bundesrecht nicht verletzt und auch sonst nicht zu beanstanden ist (Art. 106 Abs. 1 AsylG und Art. 49 VwVG). Die Beschwerde ist abzuweisen. 8. 8.1 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 8.2 Bei diesem Ausgang des Verfahrens sind die Kosten dem Beschwerde- 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D-2993/2024 Seite 10</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