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D-2989/2025 vom 7. November 2025</w:t>
      </w:r>
    </w:p>
    <w:p>
      <w:r>
        <w:t>Bundesverwaltungsgericht, 2025-11-07, DE</w:t>
      </w:r>
    </w:p>
    <w:p>
      <w:r>
        <w:rPr>
          <w:b/>
        </w:rPr>
        <w:t xml:space="preserve">Quelle: </w:t>
      </w:r>
      <w:r>
        <w:t>https://mcp.opencaselaw.ch/entscheid/bvger_D-2989_2025</w:t>
      </w:r>
    </w:p>
    <w:p>
      <w:r>
        <w:t>FR: TAF D-2989/2025 du 7 novembre 2025</w:t>
      </w:r>
    </w:p>
    <w:p>
      <w:r>
        <w:t>IT: TAF D-2989/2025 del 7 novembre 2025</w:t>
      </w:r>
    </w:p>
    <w:p>
      <w:pPr>
        <w:pStyle w:val="Heading2"/>
      </w:pPr>
      <w:r>
        <w:t>Regeste</w:t>
      </w:r>
    </w:p>
    <w:p>
      <w:r>
        <w:t>Asyl und Wegweisung</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w:t>
      </w:r>
    </w:p>
    <w:p>
      <w:r>
        <w:t>D-2989/2025 Seite 6 beschwerdeführende Person Schutz sucht (Art. 105 AsylG [SR 142.31] Art. 83 Bst. d Ziff. 1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Sodann ging der verlangte Kostenvorschuss am 13. Mai 2025 fristgerecht bei der Gerichts- kasse ein.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 hungsweise die mit beachtlicher Wahrscheinlichkeit und in absehbarer</w:t>
      </w:r>
    </w:p>
    <w:p>
      <w:r>
        <w:t>D-2989/2025 Seite 7 Zukunft begründeter Weise zu befürchten sind oder zugefügt zu werden drohen (vgl. BVGE 2011/51 E. 6.1 m.w.H.). Dabei genügt es nicht, dass diese Furcht lediglich mit Vorkommnissen oder Umständen, die sich früher oder später möglicherweise ereignen könnten, begründet wird. Es müssen hinreichende Anhaltspunkte für eine konkrete Bedrohung vorhanden sein, die bei jedem Menschen in vergleichbarer Lage Furcht vor Verfolgung und den Entschluss zur Flucht hervorrufen würden (vgl. BVGE 2010/9 E. 5.2; Entscheidungen und Mitteilungen der Schweizerischen Asylrekurskommis- sion [EMARK] 2004 Nr. 1 E. 6.a und 2005 Nr. 21 E. 7.1).</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im Wesentli- chen damit, dass die vom Beschwerdeführer geltend gemachten Schika- nen, Tätlichkeiten, Identitätskontrollen, Kurzbefragungen und rassistischen Verhaltensweisen der Polizei ihm gegenüber flüchtlingsrechtlich nicht rele- vant seien und auch kein kausaler Zusammenhang dieser Vorfälle mit sei- ner Ausreise 2022 erkennbar sei. Eine flüchtlingsrechtlich relevante Verfol- gung müsse zum Zeitpunkt des Verlassens des Heimatstaates bestehen oder es müssten hinreichend Hinweise auf eine begründete Furcht vor zu- künftiger Verfolgung vorhanden sein. Die von ihm erlebten Nachteile seien als die allgemeinen bekannten Schikanen und Benachteiligungen zu ver- stehen, welchen die kurdische Bevölkerung in der Türkei ausgesetzt sein könne und die alleine nicht zur Flüchtlingseigenschaft führten. Das gegen ihn eröffnete Strafverfahren wegen Propaganda für eine Terrororganisation gemäss Art. 7 des türkischen Antiterrorgesetzes befinde sich erst in der Er- mittlungsphase und der gegen ihn ausgestellte Vorführbefehl diene ledig- lich seiner Einvernahme, nach welcher er anschliessend wieder freigelas- sen werden würde. Überdies verfügten die eingereichten Dokumente über keine Sicherheitsmerkmale und seien leicht fälschbar. Ferner sei es öffent- lich bekannt und auch durch die Rechtsprechung des Bundesverwaltungs- gerichts bestätigt, dass Strafverfahrensakten in der Türkei problemlos ge- gen Entgelt erworben werden könnten. Da sein Verfahren erst in der Er- mittlungsphase stehe, er bisher als strafrechtlich unbescholten gelte und</w:t>
      </w:r>
    </w:p>
    <w:p>
      <w:r>
        <w:t>D-2989/2025 Seite 8 über kein wesentliches politisches Profil verfüge, könne gemäss Recht- sprechung davon ausgegangen werden, dass sein Strafverfahren keine flüchtlingsrechtliche Relevanz aufweise. Eine Reflexverfolgung wegen sei- nes Vaters könne ebenfalls ausgeschlossen werden, zumal sich dieser seit 2014 in Haft befinde und ihm (dem Beschwerdeführer) ausser im Rahmen der Polizeikontrolle 2019 keine diesbezüglichen Nachteile widerfahren seien. Gemäss Erkenntnissen des SEM bestehe im türkischen Kontext bei Angehörigen von bereits inhaftierten oder ehemals verfolgten Personen grundsätzlich keine Gefahr vor Reflexverfolgungsmassnahmen. Sodann seien weder sein persönliches Profil noch sein familiärer Hintergrund als Risikofaktoren für eine drohende Verfolgung zu werten und es bestehe keine beachtliche Wahrscheinlichkeit für eine Verurteilung zu einer unbe- dingten Haftstrafe. Auch das Risiko, bei einer Einreise in die Türkei festge- nommen und inhaftiert zu werden, sei als gering einzuschätzen. Schliess- lich sei anzumerken, dass gemäss Aktenlage die gegen ihn erhobenen Vorwürfe nicht gänzlich haltlos erschienen, da mit dem Teilen von Beiträ- gen von bewaffneten Kämpfern des militanten Flügels der YPG-PYD der Eindruck entstehe, dass er diese gewaltverherrlichenden Aktionen unter- stütze. Eine strafrechtliche Verfolgung solcher Inhalte erscheine als rechts- staatlich legitim, zumal solche Veröffentlichungen in der Schweiz ebenfalls strafrechtlich geahndet werden könnten.</w:t>
      </w:r>
    </w:p>
    <w:p>
      <w:r>
        <w:rPr>
          <w:b/>
        </w:rPr>
        <w:t>E. 5.2</w:t>
      </w:r>
    </w:p>
    <w:p>
      <w:r>
        <w:t>Der Beschwerdeführer entgegnete in seiner Beschwerde, dass er auf- grund seiner kurdischen Ethnie und seiner politischen Aktivitäten ernsthaf- ten Verfolgungsmassnahmen in seinem Heimatland ausgesetzt sei. Er habe sich insbesondere durch das Teilen von Beiträgen über Kurdistan auf sozialen Medien und durch Unterstützung der HDP politisch engagiert, nachdem sein Vater aus politischen Gründen ohne ein rechtsstaatliches Verfahren zu einer langen Haftstrafe verurteilt worden sei. Er habe ver- schiedentlich Druck, Polizeigewalt und Bedrohungen seitens der türki- schen Behörden erlebt. Aufgrund dieser Erfahrungen und der Inhaftierun- gen von Freunden wegen deren politischen Äusserungen auf sozialen Me- dien und des gegen ihn eröffneten Strafverfahrens wegen Propaganda für eine Terrororganisation habe er begründete Furcht, bei einer Rückkehr als politisch oppositionelle Person wahrgenommen und zu einer unrechtmäs- sigen Freiheitsstrafe verurteilt zu werden, welcher er auch durch eine in- nerstaatliche Fluchtalternative nicht entkommen könne. Die Diskriminie- rungsgefahr aufgrund seiner ethnischen Zugehörigkeit seitens des türki- schen Staates bestehe landesweit. Ferner müsste die Gesamtheit aller er- lebten Schikanen und Nachteile, auch zeitlich zurückliegende Ereignisse, in ihrer Gesamtheit betrachtet werden, da die Gesamtumstände</w:t>
      </w:r>
    </w:p>
    <w:p>
      <w:r>
        <w:t>D-2989/2025 Seite 9 fluchtauslösend gewesen seien. Aufgrund seines Profils und seines famili- ären Hintergrundes sei die Gefahr, bei einer Rückkehr ins Heimatland um- gehend verhaftet und misshandelt zu werden, erheblich erhöht. Das recht- liche Gehör sei verletzt, indem entscheidende Beweismittel und Aussagen nicht hinreichend berücksichtigt und die Dokumente nicht auf ihre Echtheit überprüft worden seien. Ausserdem sei keine Auseinandersetzung mit der komplexen politischen Situation in der Türkei erfolgt, weshalb auch die Be- gründungspflicht verletzt sei.</w:t>
      </w:r>
    </w:p>
    <w:p>
      <w:r>
        <w:rPr>
          <w:b/>
        </w:rPr>
        <w:t>E. 6.1</w:t>
      </w:r>
    </w:p>
    <w:p>
      <w:r>
        <w:t>Nach Durchsicht der Akten kommt das Gericht im Einklang mit der Vor- instanz zum Schluss, dass die Vorbringen des Beschwerdeführers flücht- lingsrechtlich nicht relevant sind und auch nicht von einer Reflexverfolgung wegen seines verurteilten und inhaftierten Vaters auszugehen ist. Hierzu ist vorab auf die überzeugenden Argumente der vorinstanzlichen Verfü- gung zu verweisen (vgl. SEM-Akte A37/12 S. 5-8) und zu ergänzen, dass er seinen Schilderungen zufolge – ausser einer erwähnten polizeilichen Kontrolle und einer Befragung 2019 mit anschliessender Freilassung – keine Nachteile wegen seines inhaftierten Vaters oder Probleme wegen seiner vorgebrachten politischen Aktivitäten erlitten hat (vgl. SEM-Akte 18/13 F30, F51). Eine Reflexverfolgung ist demnach auszuschliessen. Be- züglich seiner angeführten Diskriminierungen und Nachteilen aufgrund sei- ner kurdischen Herkunft ist festzuhalten, dass es bekannt ist, dass Kurden und Kurdinnen Schikanen und Benachteiligungen ausgesetzt sein können, jedoch führt nicht bereits die Tatsache kurdischer Ethnie zu sein, zur Fest- stellung der Flüchtlingseigenschaft und zur Asylgewährung. Ferner werden praxisgemäss hohe Anforderungen für die Annahme einer Kollektivverfol- gung gestellt (vgl. BVGE 2014/32 E. 6.1; 2013/12 E. 6), welche im Fall der Kurden in der Türkei – auch unter Berücksichtigung der aktuellen politi- schen Entwicklungen – nicht als erfüllt zu erachten sind (vgl. hierzu etwa die Urteile des BVGer E-3393/2023 vom 14. August 2023 E. 7.6 m.w.H.; D-2424/2021 vom 9. Mai 2022 E. 6.2; bestätigt im Referenzurteil E-4103/2024 vom 8. November 2024 E. 7.1).</w:t>
      </w:r>
    </w:p>
    <w:p>
      <w:r>
        <w:rPr>
          <w:b/>
        </w:rPr>
        <w:t>E. 6.2</w:t>
      </w:r>
    </w:p>
    <w:p>
      <w:r>
        <w:t>Im Zusammenhang mit den Ermittlungsverfahren wegen des mögli- chen Straftatbestands der Propaganda für eine Terrororganisation ist auf das Referenzurteil E-4103/2024 vom 8. November 2024 zu verweisen, wo- nach staatsanwaltliche Ermittlungsverfahren (erst) dann flüchtlingsrechtli- che Relevanz aufweisen können, wenn es tatsächlich zu einer rechtskräf- tigen Verurteilung inklusive der Ausschöpfung aller innerstaatlicher Instan- zen gekommen ist. Bei dieser Ausgangslage wäre ohnehin weiter zu</w:t>
      </w:r>
    </w:p>
    <w:p>
      <w:r>
        <w:t>D-2989/2025 Seite 10 prüfen, ob eine solche Verurteilung aus flüchtlingsrechtlich relevanten Mo- tiven im Sinne von Art. 3 Abs. 1 AsylG – meist aufgrund politischer An- schauungen in sozialen Medien – erfolgt ist oder ob die Verurteilung einen rechtstaatlich legitimen Zweck verfolgt und somit nicht zur Anerkennung der Flüchtlingseigenschaft führen würde. Zum aktuellen Zeitpunkt befindet sich das Verfahren des Beschwerdeführers erst in der Ermittlungsphase und es bleibt offen, ob es überhaupt zu einer Anklage und einer anschlies- senden Verurteilung kommen wird. Auch im Falle einer Verurteilung ist die Aussicht äusserst gering, dass er als Ersttäter ohne erkennbares geschärf- tes politisches Profil eine Strafe zu erwarten hätte (vgl. SEM-Akte 18/13 F30, F51-52, F63). In der Regel sind bei Ersttäterinnen und Ersttätern keine Strafen zu erwarten, zumal in der Praxis die türkische Strafjustiz die Strafrahmen für Delikte nach Art. 229 des türkischen Strafgesetzes (Delikt: Beleidigung des Präsidenten) und Art. 7 Abs. 2 des Antiterrorgesetzes in der Regel (Delikt: Propaganda für einer terroristische Organisation) nicht ausgeschöpft und allfällige Freiheitsstrafen grösstenteils bedingt aus- spricht (vgl. das Referenzurteil E-4103/2024 vom 8. November 2024 E. 8.2 und E. 8.7.1 m.w.H.). An dieser Einschätzung ändert auch der nachge- reichte dritte Haft- respektive Vorführbefehl vom 6. November 2024, wel- cher sich auf denjenigen vom 25. April 2024 stützt, ebenso wenig wie der Bericht vom 8. Mai 2025 an das Büro der Staatsanwaltschaft D._______ oder das gerichtsinterne Schreiben vom 16. Juni 2025.</w:t>
      </w:r>
    </w:p>
    <w:p>
      <w:r>
        <w:rPr>
          <w:b/>
        </w:rPr>
        <w:t>E. 6.3</w:t>
      </w:r>
    </w:p>
    <w:p>
      <w:r>
        <w:t>Schliesslich bleibt festzustellen, dass gemäss den eingereichten Ge- richtsunterlagen die Beiträge, wegen welchen er angeklagt wurde, alle aus- nahmslos 2023 (respektive am 30. November 2023, 1. Dezember 2023 und 3. Dezember 2023) und somit erst nach seiner Ausreise von ihm geteilt wurden, weshalb der Eindruck entsteht, er habe mit dem Veröffentlichen der Beiträge auf sozialen Medien versucht, subjektive Nachfluchtgründe zu kreieren (vgl. SEM-Akte ID-006, 009, 014/2). Auch die türkischen Strafge- richte sind sich bewusst, dass gewisse ihrer Staatsangehörigen nach der Ausreise in ihrem Gastland nur deshalb in den sozialen Medien politisch aktiv werden, um sich Vorteile im Asylverfahren zu verschaffen und sich ein Aufenthaltsrecht in Westeuropa zu sichern (vgl. das Referenzurteil des BVGer E-4103/2024 vom 8. November 2024 E. 8.7.5). Es ist anzunehmen, dass diese Umstände bei einem allfälligen Anklageverfahren oder einer Verurteilung durch die türkischen Gerichte berücksichtigt werden. Letzt- endlich bleibt festzustellen, dass die Vorinstanz in ihrer Verfügung auf fünf Seiten ausführlich begründet hat, weshalb sie zu ihrer Einschätzung ge- langt ist und auch Bezug auf die lediglich in Kopie vorliegenden Dokumente genommen hat; weshalb der Vorhalt, das rechtliche Gehör oder die</w:t>
      </w:r>
    </w:p>
    <w:p>
      <w:r>
        <w:t>D-2989/2025 Seite 11 Begründungspflicht seien verletzt, nicht gehört werden kann (vgl. SEM- Akte A37/12).</w:t>
      </w:r>
    </w:p>
    <w:p>
      <w:r>
        <w:rPr>
          <w:b/>
        </w:rPr>
        <w:t>E. 6.4</w:t>
      </w:r>
    </w:p>
    <w:p>
      <w:r>
        <w:t>Das Bundesverwaltungsgericht kommt nach dem Gesagten zum Schluss, dass der Beschwerdeführer die Flüchtlingseigenschaft nicht er- füllt.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D-2989/2025 Seite 12</w:t>
      </w:r>
    </w:p>
    <w:p>
      <w:r>
        <w:rPr>
          <w:b/>
        </w:rPr>
        <w:t>E. 8.3.3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rPr>
          <w:b/>
        </w:rPr>
        <w:t>E. 8.3.4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8.3.5</w:t>
      </w:r>
    </w:p>
    <w:p>
      <w:r>
        <w:t>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sowie jener des UN-Anti-Folterausschusses müsste der Be- schwerdeführer eine konkrete Gefahr im Sinne eines «real risk» nachwei- sen oder glaubhaft machen, dass ihm im Fall einer Rückschiebung Folter oder unmenschliche Behandlung drohen würde (vgl. Urteil des EGMR Saadi gegen Italien 28. Februar 2008, Grosse Kammer, 37201/06, §§ 124– 127 m.w.H.). Dies ist ihm nicht gelungen. Auch die allgemeine Menschen- rechtssituation in der Türkei lässt den Wegweisungsvollzug zum heutigen Zeitpunkt nicht als unzulässig erscheinen. Nach dem Gesagten ist der Voll- zug der Wegweisung sowohl im Sinne der asyl- als auch der völkerrechtli- 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Auch unter Berücksichtigung des Wiederaufflammens des türkisch- kurdischen Konfliktes sowie der bewaffneten Auseinandersetzungen</w:t>
      </w:r>
    </w:p>
    <w:p>
      <w:r>
        <w:t>D-2989/2025 Seite 13 zwischen der PKK (kurdisch: Partiya Karkerên Kurdistanê [Arbeiterpartei Kurdistans]) und staatlichen Sicherheitskräften seit Juli 2015 in den Pro- vinzen Batman, Diyarbakir, Mardin, Siirt, Urfa und Van sowie auch in den Provinzen Hakkari und D._______ (zu den Letzteren vgl. das Referenzur- teil des BVGer E-4103/2024 vom 8. November 2024 E. 13.4.8) und der Entwicklungen nach dem Militärputschversuch im Juli 2016 ist gemäss konstanter Praxis nicht von einer Situation allgemeiner Gewalt oder bür- gerkriegsähnlichen Verhältnissen in der Türkei – auch nicht für Angehörige der kurdischen Ethnie – auszugehen (vgl. statt vieler Urteil des BVGer E-3909/2025 vom 20. Juni 2025 E. 11.3.2). Diese Einschätzung ist auch vor dem Hintergrund der seit März 2025 zunehmenden innenpolitischen Spannungen nach der Verhaftung des Istanbuler Bürgermeisters Ekrem Imamoglu weiterhin gültig).</w:t>
      </w:r>
    </w:p>
    <w:p>
      <w:r>
        <w:rPr>
          <w:b/>
        </w:rPr>
        <w:t>E. 8.4.3</w:t>
      </w:r>
    </w:p>
    <w:p>
      <w:r>
        <w:t>Der junge und gesunde Beschwerdeführer verfügt über mehrjährige Schulbildung und insbesondere über mehrjährige Arbeitserfahrungen als (…). Während mehrerer Jahre bis zu seiner Ausreise im November 2022 führte er ein eigenes Geschäft. Seine finanzielle Situation sei sehr gut ge- wesen. Angesichts seiner zahlreich in der Türkei lebenden Familienange- hörigen ([...] Geschwister, die Mutter, Onkel und Tanten) wird es ihm mög- lich sein, sich erfolgreich zu reintegrieren und sein Geschäft wieder aufzu- bauen. Seine Wohnsituation erscheint ebenfalls geregelt, da er vor seiner Ausreise stets bei seiner Mutter gewohnt hat, wird es ihm möglich sein, erneut dort einzuziehen (vgl. SEM-Akten A10/5 F1.17.03, F5.2; A18/13 F12-15, F22-23, F58). Auch aus medizinischer Sicht spricht nichts gegen einen Vollzug der Wegweisung, zumal den Akten nicht zu entnehmen ist, dass er unter gesundheitlichen Problemen leiden würde. Angesichts seiner individuellen Situation erscheint es somit unwahrscheinlich, dass er bei sei- ner Rückkehr in eine existenzbedrohende Lage geraten würde.</w:t>
      </w:r>
    </w:p>
    <w:p>
      <w:r>
        <w:rPr>
          <w:b/>
        </w:rPr>
        <w:t>E. 8.4.4</w:t>
      </w:r>
    </w:p>
    <w:p>
      <w:r>
        <w:t>Nach dem Gesagten ist der Vollzug der Wegweisung auch zumutbar.</w:t>
      </w:r>
    </w:p>
    <w:p>
      <w:r>
        <w:rPr>
          <w:b/>
        </w:rPr>
        <w:t>E. 8.5</w:t>
      </w:r>
    </w:p>
    <w:p>
      <w:r>
        <w:t>Schliesslich obliegt es dem Beschwerdeführer, sich allenfalls bei der zuständigen Vertretung des Heimatstaates die für eine Rückkehr notwen- digen Reisedokumente zu beschaffen (vgl. Art. 47 Abs. 1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D-2989/2025 Seite 14</w:t>
      </w:r>
    </w:p>
    <w:p>
      <w:r>
        <w:rPr>
          <w:b/>
        </w:rPr>
        <w:t>E. 9</w:t>
      </w:r>
    </w:p>
    <w:p>
      <w:r>
        <w:t>Aus diesen Erwägungen ergibt sich, dass die angefochtene Verfügung Bundesrecht nicht verletzt, der rechtserhebliche Sachverhalt richtig sowie vollständig feststellt (Art. 106 Abs. 1 AsylG; Art. 49 VwVG) und – soweit überprüfbar – angemessen ist. Die Beschwerde ist abzuweisen.</w:t>
      </w:r>
    </w:p>
    <w:p>
      <w:r>
        <w:rPr>
          <w:b/>
        </w:rPr>
        <w:t>E. 10</w:t>
      </w:r>
    </w:p>
    <w:p>
      <w:r>
        <w:t>Bei diesem Ausgang des Verfahrens sind die Kosten von Fr. 750.– dem Beschwerdeführer aufzuerlegen (Art. 1–3 des Reglements vom 21. Feb- ruar 2008 über die Kosten und Entschädigungen vor dem Bundesverwal- tungsgericht [VGKE; SR 173.320.2]; Art. 63 Abs. 1 VwVG). Der am 13. Mai 2025 in gleicher Höhe geleistete Kostenvorschuss wird zur Bezahlung der Verfahrenskosten verwendet. (Dispositiv nächste Seite)</w:t>
      </w:r>
    </w:p>
    <w:p>
      <w:r>
        <w:t>D-2989/2025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