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D-2986/2023 vom 21. April 2023</w:t>
      </w:r>
    </w:p>
    <w:p>
      <w:r>
        <w:t>Bundesverwaltungsgericht, 2023-04-21, FR</w:t>
      </w:r>
    </w:p>
    <w:p>
      <w:r>
        <w:rPr>
          <w:b/>
        </w:rPr>
        <w:t xml:space="preserve">Quelle: </w:t>
      </w:r>
      <w:r>
        <w:t>https://mcp.opencaselaw.ch/entscheid/bvger_D-2986_2023_d20230421</w:t>
      </w:r>
    </w:p>
    <w:p>
      <w:r>
        <w:t>FR: TAF D-2986/2023 du 21 avril 2023</w:t>
      </w:r>
    </w:p>
    <w:p>
      <w:r>
        <w:t>IT: TAF D-2986/2023 del 21 aprile 2023</w:t>
      </w:r>
    </w:p>
    <w:p>
      <w:pPr>
        <w:pStyle w:val="Heading2"/>
      </w:pPr>
      <w:r>
        <w:t>Regeste</w:t>
      </w:r>
    </w:p>
    <w:p>
      <w:r>
        <w:t>Asile et renvoi | Asile et renvoi; décision du SEM du 21 avril 2023</w:t>
      </w:r>
    </w:p>
    <w:p>
      <w:pPr>
        <w:pStyle w:val="Heading2"/>
      </w:pPr>
      <w:r>
        <w:t>Erwägungen</w:t>
      </w:r>
    </w:p>
    <w:p>
      <w:r>
        <w:rPr>
          <w:b/>
        </w:rPr>
        <w:t>E. 30</w:t>
      </w:r>
    </w:p>
    <w:p>
      <w:r>
        <w:t>septembre 2022, Q. 5 et 31), qu’au demeurant, le Tribunal rappelle que la coresponsabilité familiale (Sippenhaft), en tant que faculté légale d'engager la responsabilité de toute une famille pour le délit commis par l'un de ses membres, n'existe pas en Turquie ;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arrêts du Tribunal E-3465/2023 du 17 octobre 2023 ; D-3014/2022 du 24 février 2023 consid. 3.2), qu'il s'agit d'apprécier dans chaque cas d'espèce le risque de persécution réfléchie en fonction des éléments concrets qui pourraient fonder objectivement une crainte spécifique d'agissements des autorités à l'encontre des membres de la famille, qu’en l’occurrence, indépendamment du fait que ses allégations au sujet du départ illégal de son père ne constituent que de simples affirmations, aucun élément au dossier ne permet d’admettre que la recourante, qui n’est pas fondée à craindre une persécution future en cas de retour en Turquie en raison de ses sympathies passées pour le mouvement güleniste, risque de faire l’objet d’une persécution réfléchie,</w:t>
      </w:r>
    </w:p>
    <w:p>
      <w:r>
        <w:t>D-2986/2023 Page 8 que cela étant, il n’est certes pas exclu, au vu de la situation actuelle en Turquie, que la recourante, qui séjourne à l’étranger depuis plus d’une année, puisse être contrôlée et interrogée par les autorités turques à son retour au pays ; que toutefois, rien au dossier ne permet de considérer qu’une telle mesure consisterait en un préjudice d’une intensité suffisante pour constituer une persécution déterminante en matière d’asile, qu’il s’ensuit que la crainte de la recourante d'être exposée à une persécution ciblée contre sa personne, restée au demeurant purement hypothétique (cf. à ce sujet, références précitées), n’est manifestement pas objectivement fondée, que pour le surplus, il convient de renvoyer à la décision attaquée, celle-ci étant à cet égard suffisamment motivée (art. 109 al. 3 LTF, par renvoi de l’art. 4 PA), le recours ne comportant pas de critique fondée, les arguments du recourant, pour l’essentiel purement appellatoires, n’étant pas susceptibles d’en remettre en cause le bien-fondé, qu'il s'ensuit que le recours, sous l'angle de la reconnaissance de la qualité de réfugié et de l’octroi de l’asile, doit être rejeté et le dispositif de la décision du 21 avril 2023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w:t>
      </w:r>
    </w:p>
    <w:p>
      <w:r>
        <w:t>D-2986/2023 Page 9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de la recourante,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du Tribunal D-427/2023 du 28 novembre 2023 et jurisp. cit.), qu’il ne ressort pas non plus du dossier que l’intéressée pourrait être mise concrètement en danger pour des motifs qui lui sont propres, qu’elle est originaire de la province de B._______, qui n'a pas été touchée par les tremblements de terre de février 2023, qu’en outre, elle est jeune, sans charge de famille, au bénéfice d’une bonne formation et apparemment apte à travailler ; qu’elle n’a par ailleurs pas allégué ni a fortiori établi souffrir de problèmes de santé particuliers qui impliqueraient un risque majeur en cas de retour, que de surcroît, nonobstant le départ allégué de son père, elle dispose d’un certain réseau familial dans son pays (cf. procès-verbal du 4 août 2022, pts 3.01 et 3.03),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la recourante étant en possession d’une carte d’identité (déposée au dossier) et étant tenue, le</w:t>
      </w:r>
    </w:p>
    <w:p>
      <w:r>
        <w:t>D-2986/2023 Page 10 cas échéant,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D-2986/2023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