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D-2980/2014 vom 18. Mai 2016</w:t>
      </w:r>
    </w:p>
    <w:p>
      <w:r>
        <w:t>Bundesverwaltungsgericht, 2016-05-18, DE</w:t>
      </w:r>
    </w:p>
    <w:p>
      <w:r>
        <w:rPr>
          <w:b/>
        </w:rPr>
        <w:t xml:space="preserve">Quelle: </w:t>
      </w:r>
      <w:r>
        <w:t>https://mcp.opencaselaw.ch/entscheid/bvger_D-2980_2014</w:t>
      </w:r>
    </w:p>
    <w:p>
      <w:r>
        <w:t>FR: TAF D-2980/2014 du 18 mai 2016</w:t>
      </w:r>
    </w:p>
    <w:p>
      <w:r>
        <w:t>IT: TAF D-2980/2014 del 18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im Wesentlichen aus, dass Übergriffe durch Dritte oder Befürchtungen, künftig solchen ausgesetzt zu sein, nur dann asylrelevant seien,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Im Nordirak bestehe dank der gut dotierten Sicherheitsbehörden und des Rechts- und Justizsystems eine funk­tionierende Schutzinfrastruktur. Gemäss gesicherten Kenntnissen seien die nordirakischen Behörden grundsätzlich in der Lage und willens, Hinweisen auf Übergriffe durch Dritte nachzugehen und nötigenfalls eine Strafverfolgung einzuleiten. Die Ausführungen betreffend die Drohbriefe würden zudem darauf hinweisen, dass die Behörden das Anliegen des Beschwerdeführers ernstgenommen hätten, jedoch nicht genügend Hinweise auf eine konkrete Täterschaft vorgelegen hätten. Es sei aber davon auszugehen, dass - hätte der Beschwerdeführer weitere Drohungen erhalten und hätten sich konkretere Hinweise ergeben - die Sicherheitsbehörden auch aktiv geworden wären. Ausserdem habe der Beschwerdeführer den Irak im Jahr 2003 verlassen, weshalb grundsätzlich fraglich sei, ob er von den Islamisten nach so langer Zeit der Abwesenheit zum heutigen Zeitpunkt überhaupt noch gesucht würde. Im Übrigen stehe es ihm jedoch ohnehin offen, sich an einem anderen Ort im Nordirak niederzulassen. Da somit von der Schutzfähigkeit und dem Schutzwillen der heimatlichen Behörden sowie vom Bestehen einer innerstaatlichen Fluchtalternative ausgegangen werden könne, komme den Vorbringen des Beschwerdeführers keine asylrelevante Bedeutung zu. Sodann herrsche in den von der kurdischen Regionalregierung kontrollierten nordirakischen Provinzen keine Situation allgemeiner Gewalt, weshalb der Wegweisungsvollzug grundsätzlich zumutbar sei. Ferner würden auch keine individuellen Gründe gegen die Zumutbarkeit des Wegweisungsvollzugs sprechen, zumal der Beschwerdeführer in C._______ über ein tragfähiges Beziehungsnetz, bestehend aus Eltern, Geschwistern und weiteren Verwandten, verfüge und davon auszugehen sei, dass seine Familie über genügend finanzielle Mittel verfüge, um ihn zu unterstützen, bis er selber wieder eine Arbeit gefunden habe.</w:t>
      </w:r>
    </w:p>
    <w:p>
      <w:r>
        <w:rPr>
          <w:b/>
        </w:rPr>
        <w:t>E. 4.2</w:t>
      </w:r>
    </w:p>
    <w:p>
      <w:r>
        <w:t>In der Beschwerde machte der Beschwerdeführer im Wesentlichen geltend, die "Islamische Bewegung" in Kurdistan/Irak sei eine der einflussreichsten kurdischen, islamischen Bewegungen, die eine radikale Deutung des Islams im Nordirak vertrete. F._______ sei Leiter der Partei G._______ gewesen, welche enorme Macht und bedeutenden Einfluss in der Region H._______ sowie in allen Gebieten Kurdistans habe. Im Jahr 2014 hätten die Mitglieder der Bewegung den Jahrestag seines Todes gefeiert und seine Familie und seine Anhänger hätten Rache gegenüber den Tätern geschworen. Diese Aktion zeige, dass sein Todesfall nicht vergessen werde und widerlege die Ansicht der Vorinstanz, wonach er (der Beschwerdeführer) bei einem Wegweisungsvollzug keine Konsequenzen zu gewärtigen habe beziehungsweise sich an einem anderen Ort ohne Schwierigkeiten niederlassen könne. Die beigelegten Internetadressen würden seine Aussagen bestätigen. Die Kämpfer der Partei G._______, welche vom Terrornetzwerk al-Qaida sowie von den Golfstaaten finanziert würden, seien in Afghanistan ausgebildet worden. Zudem würden sie über grosse Trainingslager verfügen und hätten sehr starke Beziehungen mit allen Stämmen und Familien in Kurdistan. Die Regierung in Kurdistan sei zu wenig einflussreich und könne deren Aktivitäten nicht eindämmen. Die Einhaltung der Menschenrechte sei in Kurdistan nicht gewährleistet. Würde die G._______ einen einfachen Menschen, wie beispielsweise den Beschwerdeführer, töten, würde dies für sie keine Konsequenzen nach sich ziehen.</w:t>
      </w:r>
    </w:p>
    <w:p>
      <w:r>
        <w:rPr>
          <w:b/>
        </w:rPr>
        <w:t>E. 4.3</w:t>
      </w:r>
    </w:p>
    <w:p>
      <w:r>
        <w:t>In ihrer Vernehmlassung hielt die Vorinstanz fest, die Beschwerdeschrift enthalte keine neuen und erheblichen Tatsachen oder Beweismittel und verwies auf ihre Erwägungen, an denen sie vollumfänglich festhalte.</w:t>
      </w:r>
    </w:p>
    <w:p>
      <w:r>
        <w:rPr>
          <w:b/>
        </w:rPr>
        <w:t>E. 5.1</w:t>
      </w:r>
    </w:p>
    <w:p>
      <w:r>
        <w:t>In der Beschwerde wurde zur Hauptsache geltend gemacht, dass die Vorinstanz ihren Entscheid auf einen unvollständig abgeklärten und fehlerhaft gewürdigten Sachverhalt abgestützt habe. Diese formelle Rüge gilt es vorab zu prüfen, da diese gegebenenfalls zu einer Kassation der angefochtenen Verfügung führen könnte.</w:t>
      </w:r>
    </w:p>
    <w:p>
      <w:r>
        <w:rPr>
          <w:b/>
        </w:rPr>
        <w:t>E. 5.2</w:t>
      </w:r>
    </w:p>
    <w:p>
      <w:r>
        <w:t>In der Rechtsmitteleingabe wurde nicht näher ausgeführt, inwiefern der Sachverhalt unrichtig und unvollständig festgestellt sein soll. Ferner sind für das Bundesverwaltungsgericht keine Anhaltspunkte dafür ersichtlich, dass die Vorinstanz den Sachverhalt nicht rechtsgenüglich abgeklärt hat. In der Anhörung vom 11. Februar 2014 wurde der Beschwerdeführer eingehend zu seinen Asylvorbringen befragt. Diese Anhörung dauerte inklusive Rückübersetzung fünf Stunden (vgl. act. A18/16). Zudem wurde der vom Beschwerdeführer geltend gemachte Sachverhalt von der Vorinstanz nicht in Abrede gestellt, sondern es wurde lediglich die Asylrelevanz der Vorbringen verneint.</w:t>
      </w:r>
    </w:p>
    <w:p>
      <w:r>
        <w:rPr>
          <w:b/>
        </w:rPr>
        <w:t>E. 5.3</w:t>
      </w:r>
    </w:p>
    <w:p>
      <w:r>
        <w:t>Nach dem Gesagten kann festgehalten werden, dass der der angefochtenen Verfügung zu Grunde gelegte Sachverhalt rechtsgenüglich erstellt worden ist, womit sich die Rüge als unbegründet erweist.</w:t>
      </w:r>
    </w:p>
    <w:p>
      <w:r>
        <w:rPr>
          <w:b/>
        </w:rPr>
        <w:t>E. 6.1</w:t>
      </w:r>
    </w:p>
    <w:p>
      <w:r>
        <w:t>Die Vorinstanz hat das Asylgesuch des Beschwerdeführers zu Recht abgelehnt, weshalb in erster Linie auf die zutreffenden Erwägungen in der angefochtenen Verfügung zu verweisen ist.</w:t>
      </w:r>
    </w:p>
    <w:p>
      <w:r>
        <w:rPr>
          <w:b/>
        </w:rPr>
        <w:t>E. 6.2</w:t>
      </w:r>
    </w:p>
    <w:p>
      <w:r>
        <w:t>Der Beschwerdeführer brachte im Wesentlichen vor, dass die Anhän­ger des verstorbenen F._______ Rache geschworen und anlässlich des 10. Todestags einen erneuten Racheschwur geleistet hätten. Diese Vorbringen werden vom Bundesverwaltungsgericht als überwiegend wahrscheinlich und damit als glaubhaft erachtet. Allerdings ist der Vorinstanz beizupflichten, dass es fraglich erscheint, ob der Beschwerdeführer nach seiner langjährigen Landesabwesenheit überhaupt noch Opfer gezielter Verfolgungsmassnahmen der Anhänger von F._______ würde. In Übereinstimmung mit der Vorinstanz ist diesbezüglich zudem festzuhalten, dass Übergriffe durch Dritte oder Befürchtungen, künftig solchen ausgesetzt zu sein, grundsätzlich nur dann asylrelevant sind, wenn der Staat seiner Schutzpflicht nicht nachkommt oder nicht in der Lage ist, Schutz zu gewähren (vgl. BVGE 2011/51 E. 7.1 ff.). Das Bundesverwaltungsgericht gelangte in BVGE 2008/4 zum Schluss, dass in den damals drei nordirakischen Provinzen Dohuk, Erbil und Suleimaniya die nordirakischen Sicherheitsbehörden grundsätzlich in der Lage und willens seien, den Einwohnern Schutz vor Verfolgung zu gewähren (vgl. a.a.O. E. 6.7). Ausserdem wurde im Referenzurteil E-3737/2015 vom 14. Dezember 2015 festgehalten, dass die heutige Sicherheitslage innerhalb der KRG trotz der Spannungen im Grenzgebiet grundsätzlich als stabil zu bezeichnen sei (vgl. a.a.O. E. 7.4.2 m.w.H.). Vor diesem Hintergrund ist davon auszugehen, dass sich die heimatlichen Behörden in der KRG - selbst wenn die Anhänger von F._______ den Beschwerdeführer bei einer Rückkehr in seinen Heimatstaat ins Visier nehmen würden - als schutzfähig und schutzwillig erweisen und dem Beschwerdeführer genügend Schutz vor einer allfälligen Verfolgung durch Dritte bieten könnten.</w:t>
      </w:r>
    </w:p>
    <w:p>
      <w:r>
        <w:rPr>
          <w:b/>
        </w:rPr>
        <w:t>E. 6.3</w:t>
      </w:r>
    </w:p>
    <w:p>
      <w:r>
        <w:t>Zusammenfassend kann festgehalten werden, dass der Beschwerdeführer keine Verfolgung oder begründete Furcht vor zukünftiger Verfolgung im Sinne von Art. 3 AsylG glaubhaft machen konnte und seine Vorbringen demnach keine Asylrelevanz aufweisen. Der Beschwerdeführer kann deshalb nicht als Flüchtling anerkannt werden. Die Vorinstanz hat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die KRG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KRG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Bundesverwaltungsgericht nahm im Urteil E-3737/2015 vom 14. Dezember 2015 (als Referenzurteil publiziert) eine aktuelle Lageanalyse vor und gelangte zum Schluss, dass der Zumutbarkeitspraxis gemäss BVGE 2008/5 weiterhin zu folgen sei. Es wies darauf hin, dass der anhaltende Konflikt in Syrien und der Vormarsch des sogenannten "Islamischen Staates" (auch Islamischer Staat im Irak und in der Levante [ISIL] oder Islamischer Staat im Irak und in Syrien [ISIS]; nachfolgend: IS) eine Flüchtlingswelle ausgelöst hätten, wobei ein Grossteil der im Irak intern vertriebenen Personen, aber auch zahlreiche Flüchtlinge aus Syrien in den kurdischen Provinzen Nordiraks Zuflucht gefunden hätten. Zum Schutze vor Infiltranten oder Sympathisanten des IS habe die KRG die Einreisebedingungen und die Sicherheitsvorkehrungen verschärft. Eigentliche militärische Auseinandersetzungen mit dem IS innerhalb der KRG seien nicht zu verzeichnen, so dass trotz der Kämpfe entlang der Grenze zur KRG die Sicherheitslage innerhalb der KRG grundsätzlich weiterhin als stabil bezeichnet werden könne. In der KRG liege heute nach wie vor keine Situation allgemeiner Gewalt im Sinne von Art. 83 Abs. 4 AuG vor und es gebe auch keine konkreten Anhaltspunkte für die Annahme, dass sich dies in absehbarer Zeit massgeblich verändern werde (vgl. a.a.O. E. 7.4).</w:t>
      </w:r>
    </w:p>
    <w:p>
      <w:r>
        <w:rPr>
          <w:b/>
        </w:rPr>
        <w:t>E. 8.4.2</w:t>
      </w:r>
    </w:p>
    <w:p>
      <w:r>
        <w:t>Der Beschwerdeführer ist Kurde und lebte bis zu seiner Ausreise im Jahr 2003 mit seinen Eltern und Geschwistern in C._______. Die Familie wohnt heute in I._______ bei C._______ in einer neueren Liegenschaft, welche in ihrem Eigentum steht. Zudem wohnen weitere Verwandte in der Nähe. Mit seiner Familie steht der Beschwerdeführer ungefähr alle zwei Monate in Kontakt. Er liess sich im Februar 2014 sodann seinen Ausweis direkt vom "J._______" in D._______ die Schweiz schicken, was als ein weiteres Indiz für ein intaktes Beziehungsnetz vor Ort zu werten ist. Das Bundesverwaltungsgericht geht somit davon aus, dass der Beschwerdeführer trotz seiner langjährigen Landesabwesenheit in seinem Heimatland über ein noch immer bestehendes soziales Beziehungsnetz verfügt. Beim Beschwerdeführer handelt es sich um einen (...)-jährigen und - soweit den Akten zu entnehmen - gesunden Mann ohne familiäre Verpflichtungen. Ausserdem konnte der Beschwerdeführer in einer Fabrik und auf Baustellen Arbeitserfahrungen sammeln und war für die Peschmerga im Dienst. Angesichts dieser Ausgangslage lässt die individuelle Situation des Beschwerdeführers darauf schliessen, dass die Familie des Beschwerdeführers ihm bei der Reintegration und beim Aufbau eines eigenständigen Lebens unterstützend zur Seite stehen wird. Es ist somit nicht anzunehmen, dass der Beschwerdeführer nach seiner Rückkehr in den Heimatstaat in eine existenzgefährdende Situation geraten könnte.</w:t>
      </w:r>
    </w:p>
    <w:p>
      <w:r>
        <w:rPr>
          <w:b/>
        </w:rPr>
        <w:t>E. 8.4.3</w:t>
      </w:r>
    </w:p>
    <w:p>
      <w:r>
        <w:t>Der Vollzug der Wegweisung erweist sich somit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Mit Zwischenverfügung vom 25. Juni 2014 wurde jedoch das Gesuch um Gewährung der unentgeltlichen Prozessführung im Sinne von Art 65 Abs. 1 VwVG gutgeheissen.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