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D-2979/2010 vom 27. September 2010</w:t>
      </w:r>
    </w:p>
    <w:p>
      <w:r>
        <w:t>Bundesverwaltungsgericht, 2010-09-27, DE</w:t>
      </w:r>
    </w:p>
    <w:p>
      <w:r>
        <w:rPr>
          <w:b/>
        </w:rPr>
        <w:t xml:space="preserve">Quelle: </w:t>
      </w:r>
      <w:r>
        <w:t>https://mcp.opencaselaw.ch/entscheid/bvger_D-2979_2010</w:t>
      </w:r>
    </w:p>
    <w:p>
      <w:r>
        <w:t>FR: TAF D-2979/2010 du 27 septembre 2010</w:t>
      </w:r>
    </w:p>
    <w:p>
      <w:r>
        <w:t>IT: TAF D-2979/2010 del 27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Entscheidungen und Mitteilungen der Schweizerischen Asylrekurskommission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5.1</w:t>
      </w:r>
    </w:p>
    <w:p>
      <w:r>
        <w:t>Nach Prüfung der Akten durch das Gericht ist - in Übereinstimmung mit der Vorinstanz - festzustellen, dass die Vorbringen des Beschwerdeführers den Anforderungen an die Glaubhaftigkeit gemäss Art. 7 AsylG nicht standzuhalten vermögen beziehungsweise nicht mit überwiegender Wahrscheinlichkeit davon auszugehen ist, dass er aufgrund seiner exilpolitischen Aktivitäten im Falle einer Rückkehr in den Heimatstaat befürchten muss, dort ernsthafte Nachteile im Sinne von Art. 3 AsylG zu erleiden, weshalb diesbezüglich zur Vermeidung von Wiederholungen vorab auf die zutreffenden vorinstanzlichen Erwägungen zu verweisen ist (vgl. Ziffer I; Bst. F. vorstehend). Der Rechtsmitteleingabe sind keine stichhaltigen Entgegnungen zu entnehmen. Die Behauptung des Beschwerdeführers in der Rechtsmittelschrift, wonach er anlässlich der Anhörung vom 29. Januar 2010 die Fragen nicht verstanden habe, vermag die in der angefochtenen Verfügung aufgeführten Widersprüche nicht zu erklären beziehungsweise zu entkräften. Da der Beschwerdeführer nach der wörtlichen Rückübersetzung des Anhörungsprotokolls unterschriftlich bestätigte, dass dieses Protokoll seinen Aussagen und der Wahrheit entspreche, muss er sich bei seinen Vorbringen, wie sie in das Anhörungsprotokoll Eingang gefunden haben, behaften lassen, zumal er den Dolmetscher gut verstanden haben will. Auch der vom Beschwerdeführer in der Beschwerdeschrift erhobene Einwand, wonach er unter starken psy-chischen Problemen leide, vermag die in der Verfügung des BFM aufgezeigten Widersprüche in seinen Aussagen nicht plausibel zu machen, zumal diese Behauptung im Anhörungsprotokoll vom 29. Januar 2010 keine Stütze findet (vgl. Akten BFM C 9/15, S. 11). Sie ist aufgrund der Umstände vielmehr als Schutzbehauptung des Beschwerdeführers zu werten, um seine widersprüchlichen Aussagen zu rechtfertigen. Der Vollständigkeit halber ist festzuhalten, dass die Vorbringen des Beschwerdeführers hinsichtlich seiner in Äthiopien erlittenen Inhaftierungen bereits mit Verfügung vom 23. September 2008 vom BFM rechtskräftig als unglaubhaft beurteilt wurden.</w:t>
      </w:r>
    </w:p>
    <w:p>
      <w:r>
        <w:rPr>
          <w:b/>
        </w:rPr>
        <w:t>E. 5.2</w:t>
      </w:r>
    </w:p>
    <w:p>
      <w:r>
        <w:t>Zusammenfassend ist festzuhalten, dass es dem Beschwerdeführer nicht gelungen ist nachzuweisen oder zumindest glaubhaft zu machen, dass er in der Heimat ernsthafte Nachteile gemäss Art. 3 AsylG erlitten hat oder solche bei der Ausreise zu befürchten hatte oder im Falle einer Rückkehr nach Äthiopien befürchten müsste. Der Beschwerdeführer vermag mit seinen Beschwerdevorbringen und den eingereichten Beweismitteln zu keiner anderen Betrachtungsweise zu führen, weshalb es sich erübrigt, weiter darauf einzugehen. Er erfüllt somit die Voraussetzungen zur Zuerkennung der Flüchtlingseigenschaft nicht, weshalb die Vorinstanz das Asylbegehren zu Recht und mit zutreffender Begründung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7.3.3</w:t>
      </w:r>
    </w:p>
    <w:p>
      <w:r>
        <w:t>Auch aufgrund der persönlichen Situation des Beschwerdeführers sind keine Gründe ersichtlich, die gegen die Zumutbarkeit des Wegweisungsvollzugs sprechen. Er hat die prägenden Kinder- und Jugendjahre in Äthiopien verbracht, wo er insbesondere während elf Jahren die Schule besucht hat. Zudem hat er in seinem Heimatland als Automechaniker und als Gewürzhändler gearbeitet, weshalb anzunehmen ist, er könne sich in Äthiopien wirtschaftlich wieder integrie-ren. Gemäss seinen Angaben leben seine (...) nach wie vor in seiner Heimat. Vor diesem Hintergrund ist davon auszugehen, dass der Beschwerdeführer in seinem Heimatland über ein soziales Beziehungsnetz verfügt, welches ihm eine Reintegration erleichtern wird. Blosse soziale und wirtschaftliche Schwierigkeiten, von denen die ansässige Bevölkerung im Allgemeinen betroffen ist, genügen nicht, um eine Gefahr im Sinne von Art. 83 Abs. 4 AuG darzustellen (vgl. die weiterhin zutreffende Praxis der ARK in EMARK 1996 Nr. 2 S. 12 f. und EMARK 2005 Nr. 24 E. 10.1 S. 215). Aufgrund der Aussagen des Beschwerdeführers anlässlich der Anhörung vom 29. Januar 2010 (vgl. Akten BFM C 9/15, S. 11) ist überdies nicht davon auszugehen, dass er unter ernsthaften gesundheitlichen Problemen leidet.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4. Mai 2010 in derselben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