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D-2978/2012 vom 21. Januar 2013</w:t>
      </w:r>
    </w:p>
    <w:p>
      <w:r>
        <w:t>Bundesverwaltungsgericht, 2013-01-21, DE</w:t>
      </w:r>
    </w:p>
    <w:p>
      <w:r>
        <w:rPr>
          <w:b/>
        </w:rPr>
        <w:t xml:space="preserve">Quelle: </w:t>
      </w:r>
      <w:r>
        <w:t>https://mcp.opencaselaw.ch/entscheid/bvger_D-2978_2012</w:t>
      </w:r>
    </w:p>
    <w:p>
      <w:r>
        <w:t>FR: TAF D-2978/2012 du 21 janvier 2013</w:t>
      </w:r>
    </w:p>
    <w:p>
      <w:r>
        <w:t>IT: TAF D-2978/2012 del 21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Ablehnung des Asylgesuchs damit, dass nach gängiger Rechtsprechung die kurdische Regionalregierung (KRG) im Nordirak willens und fähig sei, effektiven Schutz vor nichtstaatlicher Verfolgung zu gewähren (vgl. BVGE 2008/4), weshalb davon auszugehen sei, dass der Beschwerdeführer den Schutz der nordirakischen Behörden in Anspruch hätte nehmen können, zumal er als Peshmerga in den nordirakischen Sicherheitsdienst und somit in die dortigen Machtstrukturen eingebunden gewesen sei. Aus den Akten würden sich auch keine Anhaltspunkte ergeben, dass der Beschwerdeführer in irgendeiner Art und Weise den herrschenden Machtanspruch der regierenden kurdischen Parteien im Nordirak in Frage gestellt habe. Daher sei die Furcht des Beschwerdeführers, wie einer seiner Dienstkollegen, welcher mit ihm am 25. Oktober 2008 Dienst verrichtet habe, umgebracht zu werden, nicht asylrelevant. Angesichts der offensichtlich fehlenden Asylrelevanz könne darauf verzichtet werden, auf allfällige Unglaubhaftigkeitselemente in den Vorbringen des Beschwerdeführers näher einzugehen.</w:t>
      </w:r>
    </w:p>
    <w:p>
      <w:r>
        <w:rPr>
          <w:b/>
        </w:rPr>
        <w:t>E. 4.2</w:t>
      </w:r>
    </w:p>
    <w:p>
      <w:r>
        <w:t>Diesen Erwägungen wurde in der Beschwerdeschrift entgegengehalten, das BFM habe sich im angefochtenen Entscheid damit begnügt, den vorgebrachten Sachverhalt zusammenzufassen und auf (sic ! recte: darauf) die in BVGE 2008/4 begründete Rechtsprechung des Bundesverwaltungsgerichts anzuwenden, ohne sich näher mit den konkreten Vorbringen des Beschwerdeführers auseinanderzusetzen. Mit diesem Vorgehen habe das BFM seine Begründungspflicht verletzt. Im Weiteren weise das Bundesverwaltungsgericht im genannten Grundsatzurteil darauf hin, dass, gehe die Verfolgung von Islamisten aus, eine vertiefte Einzelfallabklärung zur Feststellung der Schutzgewährung - insbesondere in Bezug auf deren Effektivität - unerlässlich sei (BVGE 2008/4 E. 6.7). Der Beschwerdeführer mache nun geltend, im Nordirak von den Islamisten (der Beschwerdeführer spreche von "Terroristen", vgl. BFM-Protokoll A13 F80 f.) wegen einer unter anderem durch ihn durchgeführten Kontrolle eines von einem Araber gelenkten Fahrzeugs verfolgt zu werden. In Beachtung der genannten Rechtsprechung sei das BFM verpflichtet gewesen, sich vertieft mit den Vorbringen des Beschwerdeführers auseinanderzusetzen, was dieses unterlassen habe. Angesichts der Verletzung der Begründungspflicht sei die angefochtene Verfügung aufzuheben und zur Neubeurteilung an die Vorinstanz zurückzuweisen.</w:t>
      </w:r>
    </w:p>
    <w:p>
      <w:r>
        <w:rPr>
          <w:b/>
        </w:rPr>
        <w:t>E. 4.3</w:t>
      </w:r>
    </w:p>
    <w:p>
      <w:r>
        <w:t>Hierzu ist festzuhalten, dass gemäss der Praxis des Bundesgerichts eine Begründung grundsätzlich so abzufassen ist,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leiten liess und auf die sich ihr Entscheid stützt (BGE 122 IV 14 f.; Entscheidungen und Mitteilungen der Schweizerischen Asylrekurskommission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Vorliegend hat das BFM hinreichend begründet, weshalb es die geltend gemachte Furcht des Beschwerdeführers, wie einer seiner Dienstkollegen umgebracht zu werden, angesichts der grundsätzlichen Schutzfähigkeit der nordirakischen Behörden (vgl. BVGE 2008/4) als nicht asylrelevant erachtet hat. Dabei hat es auch dargestellt, weshalb es dem Beschwerdeführer zuzumuten gewesen wäre, den Schutz der nordirakischen Behörden in Anspruch zu nehmen. Aufgrund der unsubstanzierten Angaben des Beschwerdeführers hinsichtlich der Täterschaft bestand entgegen der Auffassung in der Beschwerde für das BFM kein Anlass, von einer Bedrohung durch Islamisten auszugehen, weshalb keine Gründe für die Notwendigkeit einer vertieften Einzelfallabklärung zur Feststellung der Schutzgewährung - insbesondere in Bezug auf deren Effektivität - vorlagen. Die Rüge der Verletzung der Begründungspflicht erweist sich somit als unbegründet. Der Antrag auf Rückweisung der Sache an die Vorinstanz zwecks erneuter Prüfung ist deshalb abzuweisen.</w:t>
      </w:r>
    </w:p>
    <w:p>
      <w:r>
        <w:rPr>
          <w:b/>
        </w:rPr>
        <w:t>E. 4.4</w:t>
      </w:r>
    </w:p>
    <w:p>
      <w:r>
        <w:t>Übergriffe durch Dritte oder Befürchtungen, künftig solchen ausgesetzt zu sein, sind nach der seit EMARK 2006 Nr. 18 anerkannten Schutztheorie nicht nur asylrelevant, wenn der Staat seiner Schutzpflicht nicht nachkommt, sondern auch, wenn er nicht in der Lage ist, Schutz zu gewähren. Dieser Schutz kann sowohl durch den Heimatstaat als auch durch einen im Sinne der Rechtsprechung besonders qualifizierten Quasi-Staat gewährt werden. Gemäss aktueller Rechtsprechung geht das Bundesverwaltungsgericht davon aus, dass die kurdischen Behörden grundsätzlich in der Lage und willens sind, ihren Bürgern genügend Schutz vor nicht-staatlichen Übergriffen zu bieten (BVGE 2008/4 E. 6.5 S. 46).</w:t>
      </w:r>
    </w:p>
    <w:p>
      <w:r>
        <w:rPr>
          <w:b/>
        </w:rPr>
        <w:t>E. 4.5</w:t>
      </w:r>
    </w:p>
    <w:p>
      <w:r>
        <w:t>Der Beschwerdeführer gibt an, aufgrund seiner Teilnahme an einer Kontrolle eines Autos, dessen Fahrer in der Folge wegen Verdachts auf terroristische Aktivitäten von seinem Vorgesetzten festgenommen worden sei, "Verfolgung durch Terroristen" zu befürchten. Abgesehen davon, dass das Verfolgungsinteresse am Beschwerdeführer objektiv wenig begründet erscheint und die diesbezüglichen Angaben des Beschwerdeführers unsubstanziert ausgefallen sind, ist davon auszugehen, dass die nordirakischen Sicherheitsbehörden ein erhebliches Interesse daran haben, ihre eigenen (ehemaligen oder jetzigen) Angehörigen vor Behelligungen Dritter zu schützen - auch wenn es sich hierbei, wie in der Beschwerde ohne nähere Angaben erstmals behauptet, um Islamisten handeln soll. Daher ist mit der Vorinstanz festzuhalten, dass der Beschwerdeführer den - genügenden - Schutz der nordirakischen Behörden in Anspruch hätte nehmen können. Mit dem BFM ist somit festzustellen, dass die geltend gemachte Furcht des Beschwerdeführers vor allfälligen Übergriffen Dritter nicht asylrelevant ist. Der Beschwerdeführer erfüllt somit die Voraussetzungen zur Anerkennung der Flüchtlingseigenschaft nicht, weshalb die Vorinstanz das Asylbegehren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Nach der Rechtsprechung des Bundesverwaltungsgerichts wird die Anordnung des Wegweisungsvollzugs in der Regel für alleinstehende, gesunde und junge kurdische Männer, welche ursprünglich aus einer der drei nordirakischen Provinzen Dohuk, Erbil und Sulaymanyia stammen und dort nach wie vor über ein soziales Netz oder Parteibeziehungen verfügen, als zumutbar er­achtet (vgl. BVGE 2008/5 E.7.5 und insbesondere E.7.5.8 S. 65 ff.).</w:t>
      </w:r>
    </w:p>
    <w:p>
      <w:r>
        <w:rPr>
          <w:b/>
        </w:rPr>
        <w:t>E. 6.6</w:t>
      </w:r>
    </w:p>
    <w:p>
      <w:r>
        <w:t>Der Beschwerdeführer stammt nach eigener Angabe aus B.______ und hat sich dort von 2001 bis zu seiner Ausreise aufgehalten. Er verfügt in B.______ mit seiner Mutter und seinen Geschwistern (vgl. BFM-Protokoll A1 S. 4) über ein familiäres Beziehungsnetz. Im Weiteren kann davon ausgegangen werden, dass der junge, nach Aktenlage gesunde Beschwerdeführer, welcher über berufliche Erfahrungen als Plattenleger und Peshmarga verfügt, in der Lage sein wird, seinen Lebensunterhalt selbstständig zu bestreiten. Es liegen somit keine Wegweisungshindernisse vor, die den Vollzug der Wegweisung im heutigen Zeitpunkt als unzumutbar erscheinen lassen.</w:t>
      </w:r>
    </w:p>
    <w:p>
      <w:r>
        <w:rPr>
          <w:b/>
        </w:rPr>
        <w:t>E. 6.7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erachten ist (Art. 83 Abs. 2 AuG).</w:t>
      </w:r>
    </w:p>
    <w:p>
      <w:r>
        <w:rPr>
          <w:b/>
        </w:rPr>
        <w:t>E. 6.8</w:t>
      </w:r>
    </w:p>
    <w:p>
      <w:r>
        <w:t>Somit liegen keine Wegweisungshindernisse vor und der vom BFM verfügte Vollzug der Wegweisung ist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 der Beschwerdeführer mit seiner Beschwerde vollumfänglich unterlegen ist, hat er grundsätzlich die Verfahrenskosten zu tragen (Art. 63 Abs. 1 VwVG). In der Beschwerdeeingabe wurde indessen um Gewährung der unentgeltlichen Rechtspflege im Sinne von Art. 65 Abs. 1 VwVG ersucht. Bis zum heutigen Zeitpunkt wurde jedoch der Nachweis der Bedürftigkeit nicht erbracht. Daher ist das Gesuch um Gewährung der unentgeltlichen Rechtspflege abzuweisen und dem Beschwerdeführer sind die Verfahrenskosten in der Höhe von Fr. 600.- (Art. 2 und 3 des Reglements vom 21. Februar 2008 über die Kosten und Entschädigungen vor dem Bundesverwaltungsgericht [VGKE, SR 173.320.3])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