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D-2977/2019 vom 13. Mai 2019</w:t>
      </w:r>
    </w:p>
    <w:p>
      <w:r>
        <w:t>Bundesverwaltungsgericht, 2019-05-13, DE</w:t>
      </w:r>
    </w:p>
    <w:p>
      <w:r>
        <w:rPr>
          <w:b/>
        </w:rPr>
        <w:t xml:space="preserve">Quelle: </w:t>
      </w:r>
      <w:r>
        <w:t>https://mcp.opencaselaw.ch/entscheid/bvger_D-2977_2019_d20190513</w:t>
      </w:r>
    </w:p>
    <w:p>
      <w:r>
        <w:t>FR: TAF D-2977/2019 du 13 mai 2019</w:t>
      </w:r>
    </w:p>
    <w:p>
      <w:r>
        <w:t>IT: TAF D-2977/2019 del 13 maggio 2019</w:t>
      </w:r>
    </w:p>
    <w:p>
      <w:pPr>
        <w:pStyle w:val="Heading2"/>
      </w:pPr>
      <w:r>
        <w:t>Regeste</w:t>
      </w:r>
    </w:p>
    <w:p>
      <w:r>
        <w:t>Asyl (ohne Wegweisungsvollzug) | Asyl (ohne Wegweisungsvollzug); Verfügung des SEM vom 13. Mai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w:t>
      </w:r>
    </w:p>
    <w:p>
      <w:r>
        <w:t>D-2977/2019 Seite 6 aArt.﷢Art.﷢108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In der Beschwerde werden verschiedene formelle Rügen erhoben, wel- che vorab zu behandeln sind, da sie allenfalls geeignet sein könnten, eine Kassation der vorinstanzlichen Verfügung zu bewirken.</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Die unrichtige oder unvollständige Feststellung des rechtserheblichen Sachverhalts kann nach Art. 49 Bst. b VwVG gerügt werden. Unrichtig ist die Sachverhalts- feststellung beispielsweise dann, wenn der Verfügung ein aktenwidriger oder nicht weiter belegbarer Sachverhalt zugrunde gelegt wurde. Unvoll- ständig ist die Sachverhaltsfeststellung, wenn die Behörde trotz der gelten- den Untersuchungsmaxime (Art. 12 ff. VwVG) den Sachverhalt nicht von Amtes wegen abgeklärt, oder nicht alle für den Entscheid wesentlichen Sa- chumstände berücksichtigt hat (vgl. BENJAMIN SCHINDLER, in: Kommentar zum VwVG, 2. Aufl. 2019, Art. 49 N. 29). Letzteres ist häufig dann der Fall, wenn die Vorinstanz gleichzeitig den Anspruch der Parteien auf rechtliches Gehör verletzt hat (vgl. BVGE 2015/10 E. 3.2 m.w.H.).</w:t>
      </w:r>
    </w:p>
    <w:p>
      <w:r>
        <w:rPr>
          <w:b/>
        </w:rPr>
        <w:t>E. 3.3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w:t>
      </w:r>
    </w:p>
    <w:p>
      <w:r>
        <w:t>D-2977/2019 Seite 7 berücksichtigt, was sich entsprechend in der Entscheidbegründung nieder- schlagen muss (a.a.O. E. 3.3 m.w.H.).</w:t>
      </w:r>
    </w:p>
    <w:p>
      <w:r>
        <w:rPr>
          <w:b/>
        </w:rPr>
        <w:t>E. 3.4</w:t>
      </w:r>
    </w:p>
    <w:p>
      <w:r>
        <w:t>Die Begründungspflicht, welche sich aus dem Anspruch auf rechtliches Gehör gemäss Art. 29 VwVG ergibt, verlangt, dass die Behörde ihren Ent- scheid so begründet, dass die betroffene Person ihn gegebenenfalls sach- gerecht anfechten kann und sich sowohl sie als auch die Rechtsmitte- linstanz über die Tragweite des Entscheides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3.5</w:t>
      </w:r>
    </w:p>
    <w:p>
      <w:r>
        <w:t>Eng mit dem Äusserungsrecht ist der verfahrensrechtliche Anspruch auf Akteneinsicht (Art. 26 VwVG) – ebenfalls Teilgehalt des rechtlichen Ge- hörs – verbunden. So können sich die Betroffenen in einem Verfahren nur dann wirksam zur Sache äussern und geeignet Beweis führen beziehungs- weise Beweismittel bezeichnen, wenn ihnen die Möglichkeit eingeräumt wird, die Unterlagen einzusehen, auf welche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verweigert, muss ihr die Behörde indes von seinem wesentlichen Inhalt Kenntnis sowie die Gelegenheit geben, sich dazu zu äussern und Gegenbeweismittel zu bezeichnen (Art. 28 VwVG). Dabei hat jeder Beschränkung des Einsichtsrechts eine konkrete, sorgfältige und umfassende Abwägung der entgegenstehenden Interessen voranzugehen, wobei der Grundsatz der Verhältnismässigkeit zu beachten ist. Je stärker das Verfahrensergebnis von der Stellungnahme der Betroffe- nen zum konkreten Dokument abhängt und je stärker auf ein Dokument bei der Entscheidfindung (zum Nachteil der Betroffenen) abgestellt wird, desto intensiver ist dem Akteneinsichtsrecht Rechnung zu tragen (BVGE 2015/10 E. 3.3 m.w.H.).</w:t>
      </w:r>
    </w:p>
    <w:p>
      <w:r>
        <w:rPr>
          <w:b/>
        </w:rPr>
        <w:t>E. 3.6.1</w:t>
      </w:r>
    </w:p>
    <w:p>
      <w:r>
        <w:t>Die Rüge des Beschwerdeführers, das rechtliche Gehör sei verletzt worden, indem ihm die Akteneinsicht im Rahmen der Entscheideröffnung teilweise verweigert worden sei, erweist sich insofern als begründet, als</w:t>
      </w:r>
    </w:p>
    <w:p>
      <w:r>
        <w:t>D-2977/2019 Seite 8 dem Beschwerdeführer die Einsicht in die Akte A3 zunächst vollständig und mit unzulässiger Begründung verwehrt worden ist. Das entsprechende Vor- gehen des SEM war zu beanstanden (vgl. Zwischenverfügung vom 26. Juni 2019). Die Vorinstanz stellte diesbezüglich folglich in ihrer Ver- nehmlassung fest, dass es sich bei der Akte A3 um einen Rapport der Grenzwache handle. Der wesentliche Inhalt wurde zusammengefasst: Der Rapport stamme vom (…) November 2015, wobei der Beschwerdeführer an diesem Tag um 13:35 Uhr angehalten worden sei. Seine Personalien seien erfasst worden, die Namen seiner Eltern hingegen nicht. Er habe sich lediglich mit seinem syrischen Führerschein ausweisen können, welcher in der Folge mit dem gestellten Asylantrag dem SEM übermittelt worden sei. Am Grenzübergang (…) sei er mündlich zum Sachverhalt befragt worden, wobei er in keiner der zur Verfügung stehenden Fahndungsapplikationen registriert gewesen sei. Weiter sei ein Passierschein erstellt und der Be- schwerdeführer aus der Kontrolle entlassen worden, wobei das damalige EVZ B._______ informiert worden sei. Die gerügte Verletzung konnte da- mit im Rahmen des Beschwerdeverfahrens geheilt werden, indem die Vor- instanz in ihrer Vernehmlassung detailliert den wesentlichen Inhalt der be- antragten Akte A3 zusammenfasste und der Beschwerdeführer anschlies- send auf Replikebene dazu Stellung nehmen konnte. Der erfolgten Heilung auf Beschwerdeebene ist allerdings praxisgemäss im Rahmen der Partei- entschädigung Rechnung zu tragen.</w:t>
      </w:r>
    </w:p>
    <w:p>
      <w:r>
        <w:rPr>
          <w:b/>
        </w:rPr>
        <w:t>E. 3.6.2</w:t>
      </w:r>
    </w:p>
    <w:p>
      <w:r>
        <w:t>Soweit sich der Beschwerdeführer darauf beruft, die Vorinstanz habe die Wegweisung im Sinne eines Real Risks gemäss von Art. 3 EMRK nicht geprüft, vermag er mit diesem Vorbringen nicht durchzudringen, zumal die Frage des Real Risks im Rahmen der Zulässigkeit des Vollzugs der ange- ordneten Wegweisung Prüfungsgegenstand ist, der Beschwerdeführer aber bereits wegen Unzumutbarkeit des Wegweisungsvollzugs vorläufig aufgenommen wurde und die Wegweisungsvollzugshindernisse praxisge- mäss nur alternativ geprüft werden.</w:t>
      </w:r>
    </w:p>
    <w:p>
      <w:r>
        <w:rPr>
          <w:b/>
        </w:rPr>
        <w:t>E. 3.6.3</w:t>
      </w:r>
    </w:p>
    <w:p>
      <w:r>
        <w:t>Bezüglich der Rüge, die bisherige Rechtspraxis sei ungerechtfertigt geändert und BVGE 2015/3 sei nicht berücksichtigt worden, weil die Vor- instanz nicht davon ausgehe, dass nicht allen Wehrdienstverweigerer und Deserteuren einer asylrelevanten Verfolgung ausgesetzt sind, gilt es fest- zuhalten, dass es sich dabei um die Frage der materiellen Würdigung des Sachverhalts und nicht um mögliche Verfahrensfehler handelt.</w:t>
      </w:r>
    </w:p>
    <w:p>
      <w:r>
        <w:rPr>
          <w:b/>
        </w:rPr>
        <w:t>E. 3.6.4</w:t>
      </w:r>
    </w:p>
    <w:p>
      <w:r>
        <w:t>Auch die Rüge, das SEM habe sich auf eine ungenügende oder ver- altete Quellenlage gestützt, vermag nicht zu verfangen, zumal die Vor-</w:t>
      </w:r>
    </w:p>
    <w:p>
      <w:r>
        <w:t>D-2977/2019 Seite 9 instanz im Wesentlichen die publizierte und aktuelle Praxis des Bundes- verwaltungsgerichts umgesetzt hat. Es entspricht nicht der Praxis der Asylbehörden, sämtliche allgemein bekannten und öffentlich zugängliche Quellen, die eine Länderpraxis beeinflussen in jedem Einzelfall explizit zu nennen. Der Verweis auf die publizierte Praxis oder die wesentlichsten Quellen genügt in aller Regel. Daran vermag auch der Umstand nichts zu ändern, dass die Vorinstanz im Rahmen der Vernehmlassung weitere auch jüngere Quellen angab, um den materiellen Einwänden in der Beschwerde zu begegnen. Im Rahmen der Vernehmlassung wurden sodann sämtliche Quellen genügend offengelegt.</w:t>
      </w:r>
    </w:p>
    <w:p>
      <w:r>
        <w:rPr>
          <w:b/>
        </w:rPr>
        <w:t>E. 3.6.5</w:t>
      </w:r>
    </w:p>
    <w:p>
      <w:r>
        <w:t>Auch bezüglich der Rüge, die eingereichten Beweismittel seien nicht gewürdigt und eine Dokumentenanalyse sei unterlassen worden, vermengt der Beschwerdeführer die Frage zur Feststellung des rechtserheblichen Sachverhalts mit derjenigen der rechtlichen Würdigung. Die Vorinstanz hat sich sehr wohl mit der eingereichten Kopie des Aufgebots zum Reserve- dienst auseinandergesetzt und ist dabei zum Schluss gekommen, dass ei- ner Kopie ein geringer Beweiswert zukommt, weshalb sie auf eine Doku- mentenanalyse verzichtete. Allein der Umstand, dass der Beschwerdefüh- rer eine andere materielle Würdigung des Sachverhalts anstrebt, kann nicht als Verletzung des rechtlichen Gehörs qualifiziert werden.</w:t>
      </w:r>
    </w:p>
    <w:p>
      <w:r>
        <w:rPr>
          <w:b/>
        </w:rPr>
        <w:t>E. 3.6.6</w:t>
      </w:r>
    </w:p>
    <w:p>
      <w:r>
        <w:t>Sodann sei die Abklärungspflicht verletzt worden, indem die Anhö- rung des Beschwerdeführers über zwei Jahre nach Asylgesuchstellung durchgeführt worden sei und zudem erneut rund eineinhalb Jahre zwi- schen der Anhörung und dem Entscheid liegen würden. Zwar ist ein relativ kurzer Zeitraum zwischen den Anhörungen sowie dem Entscheid durchaus wünschenswert. Es gibt aber keine zwingende, mit Rechtsfolgen verse- hene gesetzliche Verpflichtung des SEM hierzu. Inwiefern damit eine Ver- letzung des rechtlichen Gehörs oder des Untersuchungsgrundsatzes ver- bunden sein soll mit der Folge einer Rückweisung an die Vorinstanz, ist im Übrigen nicht zu erkennen.</w:t>
      </w:r>
    </w:p>
    <w:p>
      <w:r>
        <w:rPr>
          <w:b/>
        </w:rPr>
        <w:t>E. 3.6.7</w:t>
      </w:r>
    </w:p>
    <w:p>
      <w:r>
        <w:t>Der Beschwerdeführer erachtete schliesslich die Anhörungsdauer von sechs Stunden als offensichtlich zu lang und die maximale Anhörungs- dauer von vier Stunden sei massiv überschritten worden, wobei die Anhö- rung weit in den Abend hinein gedauert habe. Zudem sei letztmals eine Pause zwei Stunden und zehn Minuten vor Schluss erfolgt. Hierzu ist fest- zustellen, dass die Anhörung um 13:40 Uhr begann und bis 19:40 Uhr dau- erte. Dabei wurden drei Pausen von je 15, 25 und 20 Minuten in einem</w:t>
      </w:r>
    </w:p>
    <w:p>
      <w:r>
        <w:t>D-2977/2019 Seite 10 regelmässigen Rhythmus durchgeführt. Für die Dauer der Anhörung be- steht keine für die Vorinstanz verbindliche Vorgabe. Wie lange eine Anhö- rung dauern soll, ist nicht anhand von starren zeitlichen Kriterien, sondern im Rahmen der individuellen Situation zu beurteilen. In erster Linie ist massgebend, ob die angehörte Person in der Lage ist, der Anhörung zu folgen. Das Gleiche gilt für die anberaumten Pausen. Dem Protokoll ist nicht zu entnehmen, dass der Beschwerdeführer Mühe bekundet hätte, sich zu konzentrieren oder das Anhörungsteam überlastet gewesen wäre. Dies wurde an der Anhörung denn auch nicht geltend gemacht. Die Pausen sind vor diesem Hintergrund als genügend zu erachten und auch der Um- stand, dass die Anhörung relativ spät am Abend endete, ist nicht zu bean- standen.</w:t>
      </w:r>
    </w:p>
    <w:p>
      <w:r>
        <w:rPr>
          <w:b/>
        </w:rPr>
        <w:t>E. 3.7</w:t>
      </w:r>
    </w:p>
    <w:p>
      <w:r>
        <w:t>Diesen Erwägungen gemäss ist das Gesuch um Kassation der ange- fochtenen Verfügung abzuweisen, zumal keine Verletzungen der formellen Rechtsansprüche zu erkennen sind beziehungsweise solche auf Be- schwerdeebene geheilt werden konnten.</w:t>
      </w:r>
    </w:p>
    <w:p>
      <w:r>
        <w:rPr>
          <w:b/>
        </w:rPr>
        <w:t>E. 4.1</w:t>
      </w:r>
    </w:p>
    <w:p>
      <w:r>
        <w:t>Der Beschwerdeführer beantragt in der Eingabe vom 16. September 2019 die Berichtigung seines Geburtsdatums gemäss seinem Militärbüch- lein auf den 2. Januar 1982.</w:t>
      </w:r>
    </w:p>
    <w:p>
      <w:r>
        <w:rPr>
          <w:b/>
        </w:rPr>
        <w:t>E. 4.2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2 ZEMIS-Verord- nung hat eine betroffene Person, welche daraus Rechte geltend macht, sich über ihre Identität auszuweisen und ein schriftliches Gesuch beim SEM einzureichen. Demzufolge obliegt es dem Beschwerdeführer, einen entsprechenden Antrag beim SEM einzureichen, zumal sich in den Akten kein Eingang eines solchen Gesuchs befindet und die Berichtigung des Geburtsdatums nicht Prozessgegenstand der angefochtenen Verfügung war.</w:t>
      </w:r>
    </w:p>
    <w:p>
      <w:r>
        <w:rPr>
          <w:b/>
        </w:rPr>
        <w:t>E. 5.1</w:t>
      </w:r>
    </w:p>
    <w:p>
      <w:r>
        <w:t>Gemäss Art. 2 Abs. 1 AsylG gewährt die Schweiz Flüchtlingen grund- sätzlich Asyl. Flüchtlinge sind Personen, die in ihrem Heimatstaat oder im</w:t>
      </w:r>
    </w:p>
    <w:p>
      <w:r>
        <w:t>D-2977/2019 Seite 11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gemäss Art. 3 AsylG erfüllt eine asylsu- chende Person nach Lehre und Rechtsprechung dann, wenn sie Nachtei- le von bestimmter Intensität erlitten hat beziehungsweise mit beachtlicher Wahrscheinlichkeit und in absehbarer Zukunft begründeter Weise be- fürchten muss, welche ihr gezielt und aufgrund bestimmter Verfolgungs- motive durch Organe des Heimatstaates oder durch nichtstaatliche Akteure zugefügt worden sind beziehungsweise zugefügt zu werden drohen (vgl. BVGE 2011/51 E. 6.1 m.w.H.). Dabei genügt es nicht, dass diese Furcht lediglich mit Vorkommnissen oder Umständen, die sich früher oder später möglicherweise ereignen könnten, begründet wird. Es müssen hinrei- chende Anhaltspunkte für eine konkrete Bedrohung vorhanden sein, die bei jedem Menschen in vergleichbarer Lage Furcht vor Verfolgung und da- mit den Entschluss zur Flucht hervorrufen würden. Diese objektivierte Be- trachtungsweise ist zusätzlich durch das von der betroffenen Person be- reits Erlebte und das Wissen um Konsequenzen in vergleichbaren Fällen zu ergänzen. Wer bereits staatlichen Verfolgungsmassnahmen ausgesetzt war, hat objektive Gründe für eine ausgeprägtere (subjektive) Furcht (vgl. BVGE 2010/9 E. 5.2; Entscheidungen und Mitteilungen der Schweizeri- schen Asylrekurskommission [EMARK] 2004 Nr. 1 E. 6.a; 2005 Nr. 21 E. 7.1).</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stellte in ihrem ablehnenden Entscheid fest, dass der Beschwerdeführer in erster Linie aufgrund des syrischen Bürgerkrieges und der damit zusammenhängenden Gewalteskalationen sowie wegen der</w:t>
      </w:r>
    </w:p>
    <w:p>
      <w:r>
        <w:t>D-2977/2019 Seite 12 unhaltbaren Lage für die syrische Bevölkerung ausgereist sei. Diese Vor- bringen würden offenkundig keine Asylrelevanz aufweisen. Durch seine mehrmaligen Teilnahmen an kurdischen Demonstrationen seien ihm keine Konsequenzen entstanden und er habe nicht geltend gemacht, deswegen behördlich gesucht worden zu sein. Aus diesen Gründen könne nicht von einer Verfolgungssituation ausgegangen werden. Das Aufgebot in den Reservedienst sei dem Beschwerdeführer erst nach seiner Ausreise zugestellt und seinem Cousin überbracht worden. Es lasse sich somit nicht überprüfen, ob die syrischen Behörden tatsächlich ein sol- ches Aufgebot überbracht hätten. Zudem sei allgemein bekannt, dass syri- sche Dokumente aller Art käuflich erworben werden könnten und dement- sprechend über eine geringe Beweiskraft verfügten. Ferner würden seine tendenziell vagen Aussagen zum Erhalt der Aufforderung zum Reserve- dienst zur Annahme führen, dass es sich dabei um eine Gefälligkeit seiner Verwandten handeln könnte. Auch bei Wahrunterstellung würde das Auf- gebot keine Asylrelevanz entfalten, zumal er dieses erst nach seiner Aus- reise erhalten habe und somit nicht von einer eigentlichen Dienstverweige- rung gesprochen werden könne. Zudem führe eine Wehrdienstverweige- rung oder eine Desertion nur dann zur Flüchtlingseigenschaft, wenn damit eine Verfolgung im Sinne von Art. 3 AsylG verbunden sei. Eine solche Ver- folgung sei vorliegend jedoch nicht erkennbar. Überdies ergäben Quellen- analysen im syrischen Kontext, dass die syrischen Behörden nicht allen Dienstverweigerern oder Deserteuren eine regimefeindliche Haltung unter- stellen würden. Vorliegend seien keine einzelspezifischen Risikofaktoren zu erkennen, welche ein politisches Profil begründen und demenspre- chend zur Flüchtlingseigenschaft führen könnten.</w:t>
      </w:r>
    </w:p>
    <w:p>
      <w:r>
        <w:rPr>
          <w:b/>
        </w:rPr>
        <w:t>E. 6.2</w:t>
      </w:r>
    </w:p>
    <w:p>
      <w:r>
        <w:t>In der Beschwerde wurde moniert, es sei falsch zu behaupten, dass das eingereichte Aufgebot für den Reservedienst keine begründete Furcht vor einer asylrelevanten Verfolgung belegen könne, dies lediglich aus dem Grund, weil sich die Angabe des Beschwerdeführers hinsichtlich des Er- halts des Aufgebots durch den Cousin nicht überprüfen lasse. Dieses Sachverhaltselement hätte abgeklärt werden müssen. Weiter dürfe nicht einzig aufgrund der pauschalen Behauptung der Vorinstanz, alle syrischen Dokumente seien leicht fälschbar, dem Aufgebot die Beweiskraft abgespro- chen werden, zumal das Aufgebot offensichtlich ein zentrales Beweismittel seiner Asylvorbringen darstelle. Wäre dieses Beweismittel gewürdigt wor- den, hätte sich ergeben, dass sich der Inhalt mit seinen Aussagen während der Anhörung decken würde. Weiter sei die von ihm detailliert dargelegte Situation zur relevanten Zeitperiode in C._______ im Zusammenhang mit</w:t>
      </w:r>
    </w:p>
    <w:p>
      <w:r>
        <w:t>D-2977/2019 Seite 13 dem Aufgebot nicht berücksichtigt worden. Ausserdem sei es nicht nach- vollziehbar, dass deshalb keine Wehrdienstverweigerung vorliege, weil er das Aufgebot erst nach dem Verlassen seines Heimatlandes erhalten habe. Durch seine glaubhaft dargelegte Verweigerung, dem Reservedienst beizutreten, werde ihm durch die syrischen Behörden eine regimekritische Haltung vorgeworfen, woraus eine asylrechtlich relevante Verfolgung re- sultiere. Grundsätzlich müsse eine Wehrdienstverweigerung oder eine De- sertion zu Asyl führen, da zahlreichen Quellen zufolge solche von den sy- rischen Behörden als Landesverrat oder als Kritik am Regime verstanden würden. Überdies dürfe nicht ausser Acht gelassen werden, dass er bei einer Rückkehr nach Syrien auch Gefahr laufe, von den Apocis rekrutiert zu werden. Insgesamt würden die erwähnten Tatsachen zur Verschärfung seines Profils führen. Ausserdem würde er aufgrund seines spezifischen Profils in Kombination mit seiner illegalen Ausreise die Flüchtlingseigen- schaft erfüllen.</w:t>
      </w:r>
    </w:p>
    <w:p>
      <w:r>
        <w:rPr>
          <w:b/>
        </w:rPr>
        <w:t>E. 6.3</w:t>
      </w:r>
    </w:p>
    <w:p>
      <w:r>
        <w:t>Die Vorinstanz führte in ihrer Vernehmlassung aus, der vom Beschwer- deführer ausgeführte Argumentation, wonach die syrischen Behörden Wehrdienstverweigerern oder Deserteuren grundsätzlich der Opposition beschuldigen und dementsprechend bestrafen würden, könne nicht gefolgt werden. In diesem Zusammenhang könne auf die zitierten und öffentlich abrufbaren Quellen aus dem Internet verwiesen werden. Schliesslich sei festzuhalten, dass seine Ausführungen zur Frage 61 der Akte A20 (Anhö- rungsprotokoll) nicht bezweifelt würden, jedoch seien seine Teilnahmen an den Demonstrationen nicht asylrelevant.</w:t>
      </w:r>
    </w:p>
    <w:p>
      <w:r>
        <w:rPr>
          <w:b/>
        </w:rPr>
        <w:t>E. 6.4</w:t>
      </w:r>
    </w:p>
    <w:p>
      <w:r>
        <w:t>In der Replik wurde in materieller Hinsicht geltend gemacht, die Ein- schätzung der Vorinstanz bezüglich Verfolgungssituation von Wehrdienst- verweigerern sei deshalb unrichtig, weil sie sich auf veraltete Quellen stütze. Sodann wurde auf verschiedene Internetartikel – die aktuelle Lage in Syrien betreffend – hingewiesen.</w:t>
      </w:r>
    </w:p>
    <w:p>
      <w:r>
        <w:rPr>
          <w:b/>
        </w:rPr>
        <w:t>E. 6.5</w:t>
      </w:r>
    </w:p>
    <w:p>
      <w:r>
        <w:t>Der Beschwerdeführer reichte in der Eingabe vom 16. September 2019 einen Auszug aus dem Strafregister, welcher am 27. Juni 2019 ausgestellt und am 4. Juli 2019 durch das syrische Aussenministerium beglaubigt wor- den war, zu den Akten. Daraus geht hervor, dass er am 1. August 2013 wegen Finanzierung terroristischer Banden zu fünf Jahren Haft und einer Geldstrafe respektive Busse, sowie wegen Demonstrationen gegen die Regierung zu neun Jahren Haft und einer Busse verurteilt worden sei. Mit Urteil vom 23. Juli 2018 sei er wegen Verweigerung des Reservedienstes zu weiteren fünf Jahren Haft verurteilt worden.</w:t>
      </w:r>
    </w:p>
    <w:p>
      <w:r>
        <w:t>D-2977/2019 Seite 14</w:t>
      </w:r>
    </w:p>
    <w:p>
      <w:r>
        <w:rPr>
          <w:b/>
        </w:rPr>
        <w:t>E. 6.6</w:t>
      </w:r>
    </w:p>
    <w:p>
      <w:r>
        <w:t>Gemäss Dokumentenanalyse des forensischen Instituts, würde der Druck des Strafregisters vom dem Institut zugänglichen – allerdings nicht mit Sicherheit verifizierten – Vergleichsmaterial abweichen, weshalb An- haltspunkte für eine Fälschung vorlägen. Ausserdem handle es sich bei den Stempeln um Nassstempel, jedoch sei unklar, ob es sich dabei um authentisches Stempelwerkzeug handle.</w:t>
      </w:r>
    </w:p>
    <w:p>
      <w:r>
        <w:rPr>
          <w:b/>
        </w:rPr>
        <w:t>E. 6.7</w:t>
      </w:r>
    </w:p>
    <w:p>
      <w:r>
        <w:t>Im Rahmen der zweiten Vernehmlassung führte das SEM bezüglich dem eingereichten Militärbüchlein im Original aus, der alleinige Umstand, dass der Beschwerdeführer den ordentlichen Militärdienst 2002 abge- schlossen habe, sei flüchtlingsrechtlich nicht relevant. Bezüglich des ein- gereichten Strafregisterausweises überrasche es, dass die erste Verurtei- lung wegen Demonstrationen gegen die Regierung und Finanzierung ter- roristischer Banden zu einer langjährigen Haftstrafe und beträchtlichen Busse bereits am 1. August 2013 und damit noch vor seiner Ausreise er- folgt sein soll, der Beschwerdeführer dies jedoch nie erwähnt habe. Auch eine Identifizierung während der Demonstrationen oder Ermittlungen sei nicht geltend gemacht worden. Es sei fragwürdig, dass er während des Aufenthaltes in Syrien noch über ein Jahr nach der Verurteilung nichts da- von erfahren haben will und zudem erst nach Abweisung des Asylgesuches beziehungsweise sechs Jahre nach der ersten Verurteilung darüber infor- miert worden sein will. Es passe deshalb ins Bild, dass anlässlich der Aus- weisprüfung Fälschungshinweise erkannt werden konnten. Die Nachrei- chung dieses Strafregisterauszugs sei als Versuch zu werten, den im an- gefochtenen Entscheid gezogenen Schluss, wonach keine zusätzlichen Ri- sikofaktoren vorliegen würden, umzustossen. An der Qualifikation der feh- lenden Flüchtlingseigenschaft würden auch die jüngsten Veränderungen vor Ort, die keinen konkreten Bezug zum Beschwerdeführer hätten, schliesslich nichts ändern.</w:t>
      </w:r>
    </w:p>
    <w:p>
      <w:r>
        <w:rPr>
          <w:b/>
        </w:rPr>
        <w:t>E. 6.8</w:t>
      </w:r>
    </w:p>
    <w:p>
      <w:r>
        <w:t>Der Beschwerdeführer führte in seiner Duplik bezüglich der Dokumen- tenanalyse zum eingereichten Auszug aus dem Strafregister aus, es sei wesentlich, dass anhand der Auswertungen die Authentizität des Doku- ments weder dementiert, noch bestätigt werden könne, zumal diese insge- samt wenig aussagekräftig seien. Für die Echtheit des Dokuments spreche jedoch, dass es sich dabei nachweislich um Nassstempel handle. Es wäre anhand der vorhandenen Abklärungen willkürlich zu behaupten, dass das entsprechende Beweismittel gefälscht sei. Weiter werde auf eine bereits zu einem früheren Zeitpunkt eingereichte Eingabe hinsichtlich des Erhalts des Dokuments verwiesen, in welcher detailliert sowie glaubhaft ausge- führt worden sei, wie der Bruder des Beschwerdeführers den Auszug aus</w:t>
      </w:r>
    </w:p>
    <w:p>
      <w:r>
        <w:t>D-2977/2019 Seite 15 dem Strafregister erhalten habe. Schliesslich sei darauf hinzuweisen, dass der Beschwerdeführer am 1. April 2013 aus C._______ geflüchtet sei und dementsprechend von einem behördlichen Urteil vom 1. August 2013 nichts gewusst haben könne.</w:t>
      </w:r>
    </w:p>
    <w:p>
      <w:r>
        <w:rPr>
          <w:b/>
        </w:rPr>
        <w:t>E. 7.1</w:t>
      </w:r>
    </w:p>
    <w:p>
      <w:r>
        <w:t>Einleitend ist festzustellen, dass die Schilderungen des Beschwerde- führers hinsichtlich der allgemeinen Situation und der Belagerung von C._______ beziehungsweise Kobane sowie seiner daraus resultierenden Flucht nach Kobane und in die Türkei zwar äusserst anschaulich und le- bensnah ausgefallen, jedoch ausschliesslich der damaligen allgemeinen Situation denn einer individuellen Verfolgung geschuldet sind (vgl. act. A20/19, F61, F62) und dementsprechend keine Asylrelevanz zu ent- falten vermögen.</w:t>
      </w:r>
    </w:p>
    <w:p>
      <w:r>
        <w:rPr>
          <w:b/>
        </w:rPr>
        <w:t>E. 7.2</w:t>
      </w:r>
    </w:p>
    <w:p>
      <w:r>
        <w:t>Auch werden die Vorbringen des Beschwerdeführers zum Leisten sei- nes regulären Militärdienstes nicht in Frage gestellt, zumal diese durch das eingereichte Militärbüchlein sowie das entsprechende Entlassungsschrei- ben bestätigt werden. Hingegen kann seinen Ausführungen, wonach sein Cousin väterlicherseits, welcher im Haus der Familie des Beschwerdefüh- rers in C._______ lebt und ein Aufgebot für den Beschwerdeführer zum Reservedienst erhalten haben soll, nicht gänzlich geglaubt werden. Im Ver- gleich zu seinen ansonsten sehr ausführlichen Schilderungen (vgl. E. 7.1) fiel der Umriss dieses Sachverhaltselements dürftig und vage erläutert aus, dies auch unter Berücksichtigung, dass er nicht persönlich anwesend war und den Erhalt des Aufgebots lediglich durch Dritte erfuhr. Dennoch wäre zu erwarten gewesen, dass ihm der Cousin Näheres über die Umstände des Erhalts des Aufgebots und Informationen zum Überbringer hätte über- mitteln können. In Anbetracht dessen, dass er sich am 10. Januar 2017 hätte zum Reservedienst melden müssen, erstaunt es, dass nicht nach ihm gefragt oder nach ihm gesucht worden sein soll (vgl. act. A20/19, F63, F78- 81). Ausserdem wird die Annahme, dass er in der Folge nicht behördlich gesucht wurde, durch die Tatsache bestätigt, dass der betreffende Cousin mehrere Monate zuwartete, bis er die Familie des Beschwerdeführers über das Aufgebot informierte. Im Zusammenhang mit dem Nichterscheinen in den Reservedienst, wäre zu erwarten gewesen, dass die syrischen Behör- den sich zumindest nach dem Verbleib des Beschwerdeführers erkundigt hätten. Des Weiteren erscheint es fragwürdig, weshalb das im Strafregis- terauszug erwähnte Urteil vom 23. Juli 2018 wegen Wehrdienstverweige- rung trotz der registrierten Adresse des Beschwerdeführers nicht abgege- ben wurde und auch noch zum jetzigen Zeitpunkt nicht verfügbar ist.</w:t>
      </w:r>
    </w:p>
    <w:p>
      <w:r>
        <w:t>D-2977/2019 Seite 16</w:t>
      </w:r>
    </w:p>
    <w:p>
      <w:r>
        <w:rPr>
          <w:b/>
        </w:rPr>
        <w:t>E. 7.3.1</w:t>
      </w:r>
    </w:p>
    <w:p>
      <w:r>
        <w:t>Weiter bestehen erhebliche Zweifel an der Echtheit des Strafregister- auszugs und damit an den darin erwähnten Verurteilungen. So ist es dem Beschwerdeführer nicht gelungen, schlüssig darzulegen, wie sein Bruder an den Auszug aus dem Strafregister gelangte. Aus seiner unsubstanziiert und vage gehaltenen Stellungnahme vom 11. September 2019 respektive 16. September 2019 (auf welche in der Replik vom 26. Juli 2021 verwiesen wird) ist nicht ersichtlich, ob der Bruder persönlich handelte oder eine wei- tere Person hierzu beauftragte. Auch verbleibt es unklar, welche Schritte zum Erhalt des Dokuments mitsamt der Beglaubigung durch das syrische Aussenministerium unternommen worden waren. Ferner fällt auf, dass keine Quittungen oder Vollmachten – erstere etwa von der Kriminalsicher- heit C._______ oder dem syrischen Aussenministerium – vorliegen, wel- che die Ausstellung und den Erhalt derselben dokumentieren respektive legitimieren würden. In diesem Zusammenhang erscheint es überdies äus- serst realitätsfremd, dass der Bruder als direkter Angehöriger einer wegen politischen Aktivitäten zu vierzehn Jahren verurteilten Person sich der Ge- fahr ausgesetzt haben soll, einen Auszug aus dem Strafregister zu organi- sieren und ihn anschliessend noch beim syrischen Aussenministerium be- glaubigen zu lassen.</w:t>
      </w:r>
    </w:p>
    <w:p>
      <w:r>
        <w:rPr>
          <w:b/>
        </w:rPr>
        <w:t>E. 7.3.2</w:t>
      </w:r>
    </w:p>
    <w:p>
      <w:r>
        <w:t>Den Akten ist weiter zu entnehmen, dass der Beschwerdeführer letzt- mals im Herbst 2012 an einer Kundgebung teilnahm und am 1. April 2013 – mit zahlreichen anderen Flüchtlingen – C._______ nach den Angriffen durch die syrische Regierung verliess. Dass er – wie dem Auszug aus dem Strafregister zu entnehmen ist – bereits vier Monate später – am 1. August 2013 zu zwei Haftstrafen von insgesamt vierzehn Jahren von einem Anti- terror-Gericht verurteilt worden sein soll, erweist sich in keiner Weise als stringent. Aufgrund der zeitlichen Nähe zwischen seinem Aufenthalt in C._______, seiner Flucht und dem Ergehen der Urteile wäre zu erwarten gewesen, dass einem solch drastischen Urteil vorgängig, das heisst zwi- schen den Teilnahmen an den Demonstrationen und der Flucht aus C._______, ein Ermittlungsverfahren zugrunde gelegen hätte und der Be- schwerdeführer von den Behörden mittels einer gerichtlichen Vorladung oder eines Haftbefehls über ein Ermittlungsverfahren in Kenntnis gesetzt worden wäre. Schliesslich müssten bei einer Verurteilung entsprechende Urteile vorliegen oder zumindest erhältlich gemacht werden können. Ange- sichts der vorangehenden Erwägungen kann dem Beschwerdeführer nicht geglaubt werden, dass er zu mehreren Jahren Haft von einem Antiterror- Gericht in Syrien wegen «Demonstrationen gegen die Regierung» und we- gen «Finanzierung terroristischer Banden» verurteilt worden sein soll.</w:t>
      </w:r>
    </w:p>
    <w:p>
      <w:r>
        <w:t>D-2977/2019 Seite 17</w:t>
      </w:r>
    </w:p>
    <w:p>
      <w:r>
        <w:rPr>
          <w:b/>
        </w:rPr>
        <w:t>E. 7.3.3</w:t>
      </w:r>
    </w:p>
    <w:p>
      <w:r>
        <w:t>Wie der Beschwerdeführer zutreffend aufführte, kann aufgrund der Ausweisprüfung durch das forensische Institut Zürich die Echtheit des Do- kuments weder bejaht noch verneint werden. In diesem Zusammenhang ist darauf hinzuweisen, dass in Syrien nahezu jedes amtliche Dokument gegen Bezahlung erhältlich gemacht werden kann. Aufgrund der grassie- renden Korruption sind nicht nur Fälschungen unterschiedlichster Qualität erhältlich, sondern es können in Syrien gegen Bezahlung auch formell echte amtliche Dokumente beschafft werden. Daher ist selbst einem solch formell echten amtlichen Dokument nur dann eine relevante Beweiskraft beizumessen, wenn dieses im Kontext eines hinreichend schlüssigen Sachverhaltsvortrages eingereicht wird (vgl. Urteil des BVGer D-5750/2017 vom 13. Mai 2019 E. 4.3). Vorliegend ist insgesamt nicht von einem glaubhaften Sachverhalt auszugehen und zu vermuten, dass es sich um ein Gefälligkeitsdokument handelt.</w:t>
      </w:r>
    </w:p>
    <w:p>
      <w:r>
        <w:rPr>
          <w:b/>
        </w:rPr>
        <w:t>E. 7.4</w:t>
      </w:r>
    </w:p>
    <w:p>
      <w:r>
        <w:t>Auch wenn nicht gänzlich ausgeschlossen werden kann, dass der Be- schwerdeführer tatsächlich zum Reservedienst aufgeboten wurde, kann ihm nicht geglaubt werden, dass er deswegen zu einer Haftstrafe von fünf Jahren verurteilt wurde, zumal die Elemente, welche gegen die Glaubhaf- tigkeit sprechen, den Elementen, welche dafür sprechen, überwiegen. Ins- besondere ist aufgrund der Akten und den nachfolgenden Erwägungen nicht davon auszugehen, dass er über ein massgebliches Risikoprofil ver- fügt (vgl. E. 7.5).</w:t>
      </w:r>
    </w:p>
    <w:p>
      <w:r>
        <w:rPr>
          <w:b/>
        </w:rPr>
        <w:t>E. 7.5</w:t>
      </w:r>
    </w:p>
    <w:p>
      <w:r>
        <w:t>Die geltend gemachten Teilnahmen des Beschwerdeführers an den von ihm erwähnten regimekritischen Kundgebungen sind grundsätzlich glaubhaft. Hingegen ist – in Anlehnung der vorinstanzlichen Argumentation – nicht erkennbar, dass ihm dadurch negative Konsequenzen entstanden wären. Anhand der Aktenlage ist zudem nicht ersichtlich, inwiefern ihn die syrischen Behörden identifiziert und von seinen Teilnahmen an den Kund- gebungen erfahren haben sollen. Seinen Schilderungen zufolge habe er lediglich einige Male im Quartier E._______ an friedlichen Kundgebungen teilgenommen. Demzufolge ist kaum anzunehmen, dass er sich als einfa- cher Teilnehmer von anderen Teilnehmenden an den von ihm besuchten Kundgebungen abhob und dadurch den syrischen Behörden aufgefallen sein soll, insbesondere, da er angab, dass die Kundgebungen einerseits nicht in seinem Wohnquartier stattgefunden und anderseits auch «mehrere tausend» Personen teilgenommen hätten. Ferner habe er sich nach den Teilnahmen von sechs bis sieben Kundgebungen – im Herbst 2012 – ent- schlossen, nicht mehr teilzunehmen. Auch machte er nicht geltend, dass</w:t>
      </w:r>
    </w:p>
    <w:p>
      <w:r>
        <w:t>D-2977/2019 Seite 18 seine Onkel, welche öfter an regimekritischen Kundgebungen teilgenom- men hätten, von den syrischen Behörden gesucht worden seien oder Prob- leme erfahren hätten. Sodann geht aus den Akten nicht hervor, dass er aus einer politisch aktiven Familie stammen würde, welche bereits in den Fokus der heimatlichen Behörden gestanden haben könnte und dadurch die Iden- tifikation des Beschwerdeführers erleichtert hätte (vgl. act. A20/19, F61, S.8f.).</w:t>
      </w:r>
    </w:p>
    <w:p>
      <w:r>
        <w:rPr>
          <w:b/>
        </w:rPr>
        <w:t>E. 7.6</w:t>
      </w:r>
    </w:p>
    <w:p>
      <w:r>
        <w:t>Schliesslich führte der Beschwerdeführer aus, er befürchte, auch von den Apocis rekrutiert zu werden. Die Tatsache, dass die kurdischen Streit- kräfte in Kobane mittels Mikrofonen versucht hätten, junge Männer für den Kampf zu rekrutieren sowie die Befürchtung des Beschwerdeführers, er- neut von ihnen in Syrien rekrutiert zu werden (vgl. act. A20/19, F62, F99), ist zwar nicht in Frage zu stellen. Da er jedoch weder geltend machte, per- sönlich Rekrutierungsversuchen ausgesetzt worden zu sein, noch von den Apocis gesucht worden war, kann ihm nicht geglaubt werden, dass er in konkret individueller Hinsicht eine Verfolgung durch die kurdischen Streit- kräfte zu befürchten hätte. Ausserdem ist darauf hinzuweisen, dass ge- mäss Rechtsprechung eine drohende Rekrutierung durch die YPG respek- tive die PKK nicht geeignet ist, Asylrelevanz zu begründen (vgl. Urteil D-5329/2014 vom 23. Juni 2015, E. 5.3., als Referenzurteil publiziert).</w:t>
      </w:r>
    </w:p>
    <w:p>
      <w:r>
        <w:rPr>
          <w:b/>
        </w:rPr>
        <w:t>E. 7.7</w:t>
      </w:r>
    </w:p>
    <w:p>
      <w:r>
        <w:t>Zusammenfassend ergibt sich, dass auch unter Berücksichtigung der teilweise als glaubhaft eingestuften Elemente keine asylrechtlich relevan- ten Verfolgungsgründe im Sinne von Art. 3 AsylG ersichtlich sind, weshalb die Vorinstanz zu Recht die Flüchtlingseigenschaft verneint und das Asyl- 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t>D-2977/2019 Seite 19</w:t>
      </w:r>
    </w:p>
    <w:p>
      <w:r>
        <w:rPr>
          <w:b/>
        </w:rPr>
        <w:t>E. 8.3</w:t>
      </w:r>
    </w:p>
    <w:p>
      <w:r>
        <w:t>Abschliessend ist festzuhalten, dass sich aus den vorstehenden Erwä- gungen nicht etwa der Schluss ergibt, der Beschwerdeführer sei zum heu- tigen Zeitpunkt angesichts der Entwicklung in Syrien nicht gefährdet. Je- doch ist eine solche Gefährdungslage unter dem Aspekt von Art. 83 Abs. 4 AIG einzuordnen, wonach der Vollzug für Ausländerinnen und Aus- länder unzumutbar sein kann, wenn sie im Heimat- oder Herkunftsstaat auf Grund von Situationen wie Krieg, Bürgerkrieg, allgemeiner Gewalt und me- dizinischer Notlage konkret gefährdet sind. Der generellen Gefährdung aufgrund der aktuellen Situation in Syrien im Sinne von Art. 83 Abs. 4 AIG wurde bereits durch die Vorinstanz mit der Anordnung der vorläufigen Auf- nahme wegen Unzumutbarkeit des Wegweisungsvollzugs Rechnung ge- tragen.</w:t>
      </w:r>
    </w:p>
    <w:p>
      <w:r>
        <w:rPr>
          <w:b/>
        </w:rPr>
        <w:t>E. 9.1</w:t>
      </w:r>
    </w:p>
    <w:p>
      <w:r>
        <w:t>Bei diesem Ausgang des Verfahrens wären die reduzierten Kosten dem Beschwerdeführer aufzuerlegen (Art. 63 Abs. 1 VwVG; Art. 1-3 des Regle- ments vom 21. Februar 2008 über die Kosten und Entschädigungen vor dem Bundesverwaltungsgericht [VGKE, SR 173.320.2]). Nachdem jedoch das mit der Beschwerde eingegangene Gesuch um Gewährung der unent- geltlichen Rechtspflege mit Verfügung vom 24. Juli 2019 gutgeheissen wurde, werden keine Verfahrenskosten auferlegt.</w:t>
      </w:r>
    </w:p>
    <w:p>
      <w:r>
        <w:rPr>
          <w:b/>
        </w:rPr>
        <w:t>E. 9.2</w:t>
      </w:r>
    </w:p>
    <w:p>
      <w:r>
        <w:t>Soweit sich die formelle Rüge der Verletzung des Akteneinsichtsrechts als berechtigt erwiesen hat, ist dem Beschwerdeführer eine angemessene (reduzierte) Parteientschädigung für die ihm aus der Beschwerdeführung im Rahmen der festgestellten Verfahrensmängel erwachsenen notwendi- gen Kosten zuzusprechen (vgl. Teilurteil D-1549/2017 vom 2. Mai 2018 E. 10.2). Eine Kostennote wurde nicht eingereicht. Der diesbezüglich not- wendige Vertretungsaufwand lässt sich aber aufgrund der Akten hinrei- chend zuverlässig abschätzen (Art. 14 Abs. 2 in fine des Reglements vom 21. Februar 2008 über die Kosten und Entschädigungen vor dem Bundes- verwaltungsgericht [VGKE, SR 173.320.2]; VGKE). In Anwendung der ge- nannten Bestimmung und unter Berücksichtigung der massgeblichen Be- messungsfaktoren (vgl. Art. 8–13 VGKE) ist das SEM anzuweisen, dem Beschwerdeführer eine Entschädigung für die berechtigte Geltendma- chung der formellen Rüge von Fr. 200.– auszurichten. (Dispositiv nächste Seite)</w:t>
      </w:r>
    </w:p>
    <w:p>
      <w:r>
        <w:t>D-2977/2019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