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D-2959/2021 vom 26. Mai 2021</w:t>
      </w:r>
    </w:p>
    <w:p>
      <w:r>
        <w:t>Bundesverwaltungsgericht, 2021-05-26, DE</w:t>
      </w:r>
    </w:p>
    <w:p>
      <w:r>
        <w:rPr>
          <w:b/>
        </w:rPr>
        <w:t xml:space="preserve">Quelle: </w:t>
      </w:r>
      <w:r>
        <w:t>https://mcp.opencaselaw.ch/entscheid/bvger_D-2959_2021_d20210526</w:t>
      </w:r>
    </w:p>
    <w:p>
      <w:r>
        <w:t>FR: TAF D-2959/2021 du 26 mai 2021</w:t>
      </w:r>
    </w:p>
    <w:p>
      <w:r>
        <w:t>IT: TAF D-2959/2021 del 26 maggio 2021</w:t>
      </w:r>
    </w:p>
    <w:p>
      <w:pPr>
        <w:pStyle w:val="Heading2"/>
      </w:pPr>
      <w:r>
        <w:t>Regeste</w:t>
      </w:r>
    </w:p>
    <w:p>
      <w:r>
        <w:t>Asyl und Wegweisung | Asyl und Wegweisung; Verfügung des SEM vom 26. Mai 2021</w:t>
      </w:r>
    </w:p>
    <w:p>
      <w:pPr>
        <w:pStyle w:val="Heading2"/>
      </w:pPr>
      <w:r>
        <w:t>Erwägungen</w:t>
      </w:r>
    </w:p>
    <w:p>
      <w:r>
        <w:rPr>
          <w:b/>
        </w:rPr>
        <w:t>E. 1.1</w:t>
      </w:r>
    </w:p>
    <w:p>
      <w:r>
        <w:t>Das Bundesverwaltungsgericht beurteilt gestützt auf Art. 31 VGG Be- 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auf dem Gebiet des Asyls, und entscheidet in diesem Bereich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demnach einzutreten.</w:t>
      </w:r>
    </w:p>
    <w:p>
      <w:r>
        <w:rPr>
          <w:b/>
        </w:rPr>
        <w:t>E. 2</w:t>
      </w:r>
    </w:p>
    <w:p>
      <w:r>
        <w:t>Die Kognition des Bundesverwaltungsgerichts und die zulässigen Rügen richten sich im Asylbereich nach Art. 106 Abs. 1 AsylG, im Bereich des Aus- länderrechts nach Art. 49 VwVG (vgl. BVGE 2014/26 E. 5).</w:t>
      </w:r>
    </w:p>
    <w:p>
      <w:r>
        <w:t>D-2959/2021 Seite 6</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Als ernsthafte Nachteile gelten namentlich die Gefährdung des Leibes, des Le- bens oder der Freiheit sowie Massnahmen, die einen unerträglichen psy- 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ver- schiedenen Entscheiden dargelegt und folgt dabei ständiger Praxis. Darauf kann hier verwiesen werden (vgl. BVGE 2015/3 E. 6.5.1 mit Verweisen).</w:t>
      </w:r>
    </w:p>
    <w:p>
      <w:r>
        <w:rPr>
          <w:b/>
        </w:rPr>
        <w:t>E. 4.1</w:t>
      </w:r>
    </w:p>
    <w:p>
      <w:r>
        <w:t>Die Vorinstanz führte zur Begründung ihres Entscheids aus, zwischen dem Vorfall im (…) und der Ausreise im (…) sei der Beschwerdeführer le- diglich noch einmal polizeilich befragt worden, als er sich im Frühjahr (…) zufällig bei der Grossmutter aufgehalten habe. Dieses Ereignis könne zu- dem nicht als ernsthaften Nachteil im Sinne von Art. 3 Abs. 2 AsylG quali- fiziert werden. Ausserdem bestehe kein genügend enger Zusammenhang zwischen den geltend gemachten Verfolgungshandlungen und der Aus- reise. Im Weiteren habe er erst am (…) ein Asylgesuch in der Schweiz ge- stellt, obwohl er zuvor schon mehrmals in der Schweiz gewesen sei. Es bestünden sodann auch keine Hinweise darauf, dass er wegen seines fa- miliären Umfeldes, namentlich wegen des Vaters, mit beachtlicher Wahr- scheinlichkeit und in absehbarer Zukunft von ernsthaften Reflexverfol- gungsmassnahmen betroffen sein könnte, zumal der Kausalzusammen- hang zwischen den Verfolgungsmassnahmen und seiner Ausreise wie er- wähnt zu verneinen sei und er auch nicht von den Behörden an der Aus- reise gehindert worden sei. Die Polizei hätte Gelegenheit gehabt, ihn zu verhaften und/oder ein Verfahren gegen ihn einzuleiten, falls ein ernsthaf-</w:t>
      </w:r>
    </w:p>
    <w:p>
      <w:r>
        <w:t>D-2959/2021 Seite 7 tes Interesse an seiner Person bestanden hätte. Er sei jedoch den einge- reichten Unterlagen zufolge lediglich einmal für eine Aussage beigezogen worden. Seine Vorbringen seien daher insgesamt flüchtlingsrechtlich nicht relevant.</w:t>
      </w:r>
    </w:p>
    <w:p>
      <w:r>
        <w:rPr>
          <w:b/>
        </w:rPr>
        <w:t>E. 4.2</w:t>
      </w:r>
    </w:p>
    <w:p>
      <w:r>
        <w:t>In der Beschwerde sowie der Eingabe vom 8. Juli 2021 bringt der Be- schwerdeführer vor, sein Vater werde in der Türkei aus politischen Gründen im Zusammenhang mit der Mitwirkung in der Hizmet/Gülen-Bewegung ver- folgt und sei durch Interpol zur Fahndung ausgeschrieben. Er selber habe eine (…) besucht, welche wegen Verbindungen zur Hizmet geschlossen worden sei. Zudem habe er ein Konto bei der (…) gehabt, welche als Teil der Hizmet-Bewegung betrachtet werde. Ein Gericht habe entschieden, dass der Besitz eines Kontos bei dieser Bank als Unterstützung einer be- waffneten Terrororganisation gelte; daher reiche dies aus, um verhaftet zu werden. Die Verfolgung von Anhängern der Gülen-Bewegung dauere nach wie vor an. Nachdem er das erste Mal von der Polizei aufgesucht worden sei, habe er sich versteckt; dies sei der Grund für die grösseren Abstände zwischen den Vorfällen. Als nächster Angehöriger seines Vaters, welcher in der Schweiz Asyl erhalten habe, sei er bei einer Rückkehr in die Türkei von Reflexverfolgung bedroht. Das SEM habe die Glaubhaftigkeit seiner Asylvorbringen nicht bestritten. Entgegen der Annahme des SEM seien zu- dem durchaus Hinweise dafür vorhanden, dass die türkischen Behörden ein besonderes Verfolgungsinteresse an seinem Vater hätten. Bei einer Rückkehr befürchte er (Beschwerdeführer), zwecks Druckausübung auf seinen Vater von den türkischen Behörden verhaftet und gefoltert zu wer- den. Gemäss Medienberichten habe der türkische Präsident ein konse- quentes und drastisches Vorgehen gegen Gülen-Anhänger angedroht. Ein bekannter Gülen-Anhänger sei gar vom Geheimdienst aus dem Ausland in die Türkei überführt worden.</w:t>
      </w:r>
    </w:p>
    <w:p>
      <w:r>
        <w:rPr>
          <w:b/>
        </w:rPr>
        <w:t>E. 4.3</w:t>
      </w:r>
    </w:p>
    <w:p>
      <w:r>
        <w:t>Das SEM führt in seiner Vernehmlassung aus, es sei aus dem einge- reichten Schreiben der (…) nicht ersichtlich, inwiefern der Beschwerdefüh- rer dadurch im Fokus der türkischen Behörden stehen solle. Im Falle eines gewichtigen Interesses an seiner Person wäre zu erwarten gewesen, dass er deswegen bereits vor der Ausreise ernsthafte Nachteile erlitten hätte. Aus den Akten ergäben sich keine Hinweise auf eine begründete Furcht vor zukünftiger, asylbeachtlicher Verfolgung.</w:t>
      </w:r>
    </w:p>
    <w:p>
      <w:r>
        <w:rPr>
          <w:b/>
        </w:rPr>
        <w:t>E. 4.4</w:t>
      </w:r>
    </w:p>
    <w:p>
      <w:r>
        <w:t>In der Replik sowie in der darauffolgenden Eingabe vom 28. Dezember 2021 macht der Beschwerdeführer geltend, die Polizei erkundige sich re-</w:t>
      </w:r>
    </w:p>
    <w:p>
      <w:r>
        <w:t>D-2959/2021 Seite 8 gelmässig, letztmals (…), bei den Grosseltern nach dem Aufenthaltsort sei- ner Familie. Die Behörden hätten das Mobiltelefon seines Vaters über- wacht. Dabei hätten sie eine SMS einer der Gülen-Bewegung nahestehen- den Person entdeckt und festgestellt, dass der Vater (…) nutze. Der Be- schwerdeführer verwies ausserdem auf die Aussage in einem Bericht der SFH vom Mai 2019, wonach Familienmitglieder von ins Ausland geflohe- nen mutmasslichen Gülen-Anhängern verhaftet worden seien. Demnach drohe auch ihm bei der Rückkehr in die Türkei eine asylbeachtliche Verfol- gung. Angehörige von Personen, die wegen Verbindungen zur Gülen-Be- wegung verurteilt worden seien, hätten zudem in der Türkei düstere Zu- kunftsaussichten auf dem Arbeitsmarkt und würden sozial stigmatisiert. Sein Vater sei weiterhin angeklagt und werde per (…) gesucht. Er (Be- schwerdeführer) müsse bei einer Rückkehr in die Türkei mit Reflexverfol- gung rechnen, da den Behörden wohl bekannt sei, dass die ganze Familie ins Ausland gereist sei, und sie bei seiner Rückkehr aus der Schweiz ver- muten würden, dass er Kontakt zum Vater gehabt habe.</w:t>
      </w:r>
    </w:p>
    <w:p>
      <w:r>
        <w:rPr>
          <w:b/>
        </w:rPr>
        <w:t>E. 5.1</w:t>
      </w:r>
    </w:p>
    <w:p>
      <w:r>
        <w:t>Der Beschwerdeführer macht eine (Reflex-)Verfolgung respektive Ver- folgungsgefahr im Zusammenhang mit seiner Nähe zur Hizmet-Bewegung geltend. Dazu ist vorab Folgendes festzustellen:</w:t>
      </w:r>
    </w:p>
    <w:p>
      <w:r>
        <w:rPr>
          <w:b/>
        </w:rPr>
        <w:t>E. 5.1.1</w:t>
      </w:r>
    </w:p>
    <w:p>
      <w:r>
        <w:t>Im Juli 2016 kam es in der Türkei zu einem Putschversuch gegen die Regierung von Präsident Erdoğan. Die türkische Regierung beschuldigte daraufhin die Hizmet-Bewegung des im Exil lebenden türkischen Predigers Fetullah Gülen, hinter dem Putschversuch zu stehen, und bezeichnete die Bewegung als terroristisch (Fethullahçi Terör Örgütü [FETÖ], «Fethullahis- tische Terrororganisation»). Dies führte zu einer grossangelegten Verhaf- tungs- respektive Säuberungsaktion gegen tatsächliche oder vermeintliche Anhänger der Gülen-Bewegung, welche bis heute anhält (vgl. dazu U. S. Department of State, 2021 Country Reports on Human Rights Practices: Turkey, https://www.state.gov/wp-content/uploads/2022/03/313615_TUR- KEY-2021-HUMAN-RIGHTS-REPORT.pdf; Canada Immigration and Refu- gee Board, Turkey: The Hizmet movement, also known as the Gülen move- ment, including situation and treatment of followers or perceived followers; how members of the Hizmet movement are identified, including how per- sons or organizations might be perceived as belonging to the movement, Juli 2018/Dezember 2019, https://irb.gc.ca/en/country-infor- mation/rir/Pages/index.aspx?doc=457985).</w:t>
      </w:r>
    </w:p>
    <w:p>
      <w:r>
        <w:t>D-2959/2021 Seite 9</w:t>
      </w:r>
    </w:p>
    <w:p>
      <w:r>
        <w:rPr>
          <w:b/>
        </w:rPr>
        <w:t>E. 5.1.2</w:t>
      </w:r>
    </w:p>
    <w:p>
      <w:r>
        <w:t>Das Bundesverwaltungsgericht anerkennt, dass in der Türkei staatli- che Repressalien gegen Familienangehörige von politischen Aktivisten an- gewandt werden, die als sogenannte Reflexverfolgung flüchtlingsrechtlich erheblich im Sinne von Art. 3 AsylG sein können. Die Gefahr einer Re- flexverfolgung besteht jedoch bei Angehörigen von bereits inhaftierten oder ehemals verfolgten Personen in aller Regel nicht, und behördliche Nach- forschungen gegenüber Familienangehörigen von politisch missliebigen Personen nehmen bezüglich Intensität in der Regel kein asylbeachtliches Ausmass an. Die Wahrscheinlichkeit, Opfer einer Reflexverfolgung zu wer- den, ist nach der Praxis des Gerichts vor allem dann gegeben, wenn nach einem flüchtigen Familienmitglied gefahndet wird und die Behörde Anlass zur Vermutung hat, dass jemand mit der gesuchten Person in engem Kon- takt steht. Diese Wahrscheinlichkeit erhöht sich, wenn ein nicht unbedeu- tendes politisches Engagement der reflexverfolgten Person für illegale po- litische Organisationen hinzukommt beziehungsweise ihr seitens der Be- hörden unterstellt wird. Die Wahrscheinlichkeit einer Reflexverfolgung und deren Intensität hängt stark von den konkreten Umständen des Einzelfalls ab (vgl. statt vieler Urteil des BVGer D-3351/2021 vom 21. März 2022 E. 5.1 ff., E-6244/2016 vom 9. Mai 2018 E. 5.5 m. H. sowie D-5254/2012 vom 23. Januar 2012 E. 5.2.2 m.w.H.).</w:t>
      </w:r>
    </w:p>
    <w:p>
      <w:r>
        <w:rPr>
          <w:b/>
        </w:rPr>
        <w:t>E. 5.2</w:t>
      </w:r>
    </w:p>
    <w:p>
      <w:r>
        <w:t>Die vom Beschwerdeführer vor seiner Ausreise erlittenen Verfolgungs- massnahmen (mehrmalige Befragungen durch die Polizei, letztmals im Frühjahr […]) sind zwar als glaubhaft zu erachten, zumal sie – soweit sie sich vor (…) zugetragen haben – auch von seinem Vater in dessen Asyl- verfahren erwähnt werden (vgl. dazu die beigezogenen Akten N […], A16 F71 und F74). Diese Massnahmen stellen indessen angesichts ihrer gerin- gen Intensität keine ernsthaften Nachteile im Sinne von Art. 2 Abs. 2 AsylG dar. Daher ist die Asylrelevanz dieser Verfolgungsmassnahmen zu vernei- nen.</w:t>
      </w:r>
    </w:p>
    <w:p>
      <w:r>
        <w:rPr>
          <w:b/>
        </w:rPr>
        <w:t>E. 5.3</w:t>
      </w:r>
    </w:p>
    <w:p>
      <w:r>
        <w:t>Soweit der Beschwerdeführer im Zusammenhang mit eigenen Berüh- rungspunkten zur Hizmet-Bewegung eine – im Ausreisezeitpunkt und/oder aktuell bestehende – Verfolgungsgefahr geltend macht, ist festzustellen, dass es dafür keine konkreten Anhaltspunkte gibt. Zwar sind seine (eige- nen) Verbindungen zur Hizmet-Bewegung (der Besuch einer (…) sowie von (…), die Lektüre einiger Bücher von Fethullah Gülen, das Anschauen von einschlägigen Videos, ein Probeabonnement der Zeitung (…) [vgl. A23 F69], ein – gemäss eingereichtem Kontobeleg im Jahr […] letztmals be- nutztes – Konto bei der […]) theoretisch geeignet, eine strafrechtliche Ver-</w:t>
      </w:r>
    </w:p>
    <w:p>
      <w:r>
        <w:t>D-2959/2021 Seite 10 folgung durch die türkischen Behörden auszulösen (vgl. dazu den als Be- weismittel eingereichten Bericht der SFH vom 24. Mai 2019 [Türkei: Ge- fährdung der Familie einer Person mit Verbindungen zur Gülen-Bewe- gung], S. 6). Gleichzeitig ist es offensichtlich, dass der Beschwerdeführer die Hizmet-Bewegung nicht direkt (finanziell, propagandistisch oder in Form von Mitarbeit in einer der Bewegung nahestehenden Institutionen) unterstützt beziehungsweise unterstützt hat; er vermittelt denn auch nicht den Eindruck eines besonders engagierten Anhängers dieser Bewegung. Aufgrund der Aktenlage ist davon auszugehen, dass die türkischen Behör- den seit der Razzia in der Familienwohnung im (…) über die persönlichen Verbindungen des Beschwerdeführers zur Hizmet-Bewegung informiert waren, da sie damals entsprechende (…) auf seinem Pult gefunden und sämtliche elektronischen Geräte der Familie beschlagnahmt hatten (vgl. A23 S. 6). Dennoch war der Beschwerdeführer bis zur Ausreise keinen ge- zielten und ernsthaften Verfolgungsmassnahmen ausgesetzt; insbeson- dere wurde gegen ihn offenbar kein Ermittlungsverfahren eingeleitet, und auch die – beiläufige – Befragung im Frühjahr (…) (vgl. A23 S. 8) führte zu keinen weiteren Verfolgungshandlungen (vgl. A23 F53 f.). Der Beschwer- deführer konnte im (…) unbehelligt und legal aus der Türkei ausreisen, und auch nach seiner Ausreise ist den Akten zufolge nichts geschehen, was auf ein ernsthaftes Verfolgungsinteresse seitens der Behörden hindeuten könnte. Demnach besteht kein hinreichender Grund zur Annahme, dass er im Zusammenhang mit seinen eigenen Verbindungen zur Hizmet-Bewe- gung zukünftig in asylbeachtlicher Weise verfolgt worden wäre respektive würde.</w:t>
      </w:r>
    </w:p>
    <w:p>
      <w:r>
        <w:rPr>
          <w:b/>
        </w:rPr>
        <w:t>E. 5.4</w:t>
      </w:r>
    </w:p>
    <w:p>
      <w:r>
        <w:t>Der Beschwerdeführer befürchtet ausserdem eine Reflexverfolgung im Zusammenhang mit Angehörigen, namentlich seinem Vater. Den Akten zu- folge ist gegen diesen in der Türkei ein Strafverfahren wegen (…) hängig. Er ist seit dem Jahr (…) flüchtig und geniesst seit (…) Asyl in der Schweiz. Aufgrund des eingereichten Verhandlungsprotokolls vom (…) (vgl. Be- schwerdebeilage 3) ist davon auszugehen, dass er via (…) zur Verhaftung ausgeschrieben wurde ([…]) Nach dem Gesagten sind die türkischen Be- hörden zweifellos an einer Ergreifung des Vaters des Beschwerdeführers interessiert. Allerdings bekleidete der Vater innerhalb der Hizmet-Bewe- gung keine führende Stellung und war offensichtlich auch in keiner Art und Weise persönlich am Putschversuch beteiligt, was auch erklären dürfte, weshalb er nach seiner Verhaftung im Jahr (…) nach nur (…) Tagen aus der Untersuchungshaft entlassen worden war. In der Vergangenheit wurde der Beschwerdeführer nach dem Untertauchen respektive der Ausreise seines Vaters zwar mehrmals zu dessen Verbleib befragt, da er verdächtigt</w:t>
      </w:r>
    </w:p>
    <w:p>
      <w:r>
        <w:t>D-2959/2021 Seite 11 wurde, Kontakt zu diesem zu haben, und musste sogar einmal eine kurze Aussage vor Gericht machen (vgl. das Verhandlungsprotokoll vom […]; A8). Er wurde jedoch weder verhaftet noch wurde gegen ihn ein Strafver- fahren eingeleitet oder auch nur Reisebeschränkungen verhängt. Es be- stehen auch keine Hinweise darauf, dass er nach seiner Ausreise behörd- lich vorgeladen oder per Haftbefehl gesucht worden wäre (vgl. dazu auch A23 F58). Offenbar stellten die Behörden lediglich seinen Grosseltern ei- nige Fragen nach dem Verbleib der Familie (vgl. S. 1 der Replik). Hätten die Behörden tatsächlich versuchen wollen, den Vater durch Verhaftung oder Anklage des Beschwerdeführers dazu zu bewegen sich zu stellen, ist vielmehr davon auszugehen, dass sie dies längst getan und sich nicht rund (…) Jahre lang damit begnügt hätten, den Beschwerdeführer sporadisch zu befragen. Nach dem Gesagten ist zwar nicht auszuschliessen, dass der Beschwerdeführer bei einem Verbleib im Heimatland weiteren Befragun- gen zum Verbleib seines Vaters beziehungsweise seinen Kontakten zum Vater ausgesetzt gewesen wäre respektive bei einer Rückkehr in die Türkei mit solchen rechnen muss; über derartige Schikanen und Einschüchte- rungsversuche hinausgehende Verfolgungsmassnahmen im Sinne von ernsthaften Nachteilen (Art. 3 Abs. 2 AsylG) erscheinen jedoch im vorlie- genden Einzelfall als unwahrscheinlich. Der Beschwerdeführer hat sodann nie geltend gemacht, er sei im Zusammenhang mit dem Cousin seines Va- ters oder dem Schwiegersohn seiner Tante (vgl. A23 F80) verfolgt worden. Eine entsprechende Reflexverfolgungsgefahr ist daher ebenfalls als un- wahrscheinlich zu erachten. Insgesamt gibt es keine hinreichenden An- haltspunkte für die Annahme, dass dem Beschwerdeführer im Zusammen- hang mit seinem Vater oder anderen Angehörigen im Ausreisezeitpunkt eine asylbeachtliche Reflexverfolgung gedroht hätte respektive bei einer Rückkehr in die Türkei zukünftig drohen könnte.</w:t>
      </w:r>
    </w:p>
    <w:p>
      <w:r>
        <w:rPr>
          <w:b/>
        </w:rPr>
        <w:t>E. 5.5</w:t>
      </w:r>
    </w:p>
    <w:p>
      <w:r>
        <w:t>Zusammenfassend ist festzustellen, dass die vom Beschwerdeführer geltend gemachte Vorverfolgung als nicht asylrelevant zu qualifizieren ist und ihm auch keine begründete Furcht vor zukünftiger, flüchtlingsrechtlich relevanter Verfolgung zugestanden werden kann. Die bisher nicht aus- drücklich erwähnten Beweismittel (namentlich die verschiedenen Medien- berichte, der «Rechtsprechungstext» sowie die […]) vermögen an dieser Einschätzung nichts zu ändern, weshalb darauf nicht näher einzugehen ist. Die Vorinstanz hat somit zu Recht die Flüchtlingseigenschaft verneint und das Asylgesuch abgelehnt.</w:t>
      </w:r>
    </w:p>
    <w:p>
      <w:r>
        <w:rPr>
          <w:b/>
        </w:rPr>
        <w:t>E. 6</w:t>
      </w:r>
    </w:p>
    <w:p>
      <w:r>
        <w:t>D-2959/2021 Seite 12</w:t>
      </w:r>
    </w:p>
    <w:p>
      <w:r>
        <w:rPr>
          <w:b/>
        </w:rPr>
        <w:t>E. 6.1</w:t>
      </w:r>
    </w:p>
    <w:p>
      <w:r>
        <w:t>Lehnt das SEM das Asylgesuch ab oder tritt es darauf nicht ein, so verfügt es in der Regel die Wegweisung aus der Schweiz und ordnet den Vollzug an (Art. 44 Abs. 1 AsylG).</w:t>
      </w:r>
    </w:p>
    <w:p>
      <w:r>
        <w:rPr>
          <w:b/>
        </w:rPr>
        <w:t>E. 6.2</w:t>
      </w:r>
    </w:p>
    <w:p>
      <w:r>
        <w:t>Der Beschwerdeführer verfügt weder über eine ausländerrechtliche Aufenthaltsbewilligung noch über einen Anspruch auf Erteilung einer sol- chen. Die Wegweisung wurde demnach zu Recht angeordnet (Art. 44 Abs. 1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7.2.2</w:t>
      </w:r>
    </w:p>
    <w:p>
      <w:r>
        <w:t>Das flüchtlingsrechtliche Refoulement-Verbot schützt nur Personen, welche die Flüchtlingseigenschaft erfüllen. Da es dem Beschwerdeführer nicht gelungen ist, eine flüchtlingsrechtlich erhebliche Gefährdung nachzu- weisen oder glaubhaft zu machen, kommt der in Art. 5 AsylG verankerte</w:t>
      </w:r>
    </w:p>
    <w:p>
      <w:r>
        <w:t>D-2959/2021 Seite 13 Grundsatz der Nichtrückschiebung nicht zur Anwendung. Eine Rückkehr in den Heimatstaat ist somit unter dem Aspekt von Art. 5 AsylG rechtmässig.</w:t>
      </w:r>
    </w:p>
    <w:p>
      <w:r>
        <w:rPr>
          <w:b/>
        </w:rPr>
        <w:t>E. 7.2.3</w:t>
      </w:r>
    </w:p>
    <w:p>
      <w:r>
        <w:t>Sodann ergeben sich weder aus den Aussagen des Beschwerdefüh- rers noch aus den Akten Anhaltspunkte dafür, dass er für den Fall einer Ausschaffung in die Türkei dort mit beachtlicher Wahrscheinlichkeit einer nach Art. 3 EMRK oder Art. 1 FoK verbotenen Strafe oder Behandlung aus- gesetzt wäre. Gemäss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EGMR [Grosse Kammer], Saadi gegen Italien, Urteil vom 28. Februar 2008, Beschwerde Nr. 37201/06, §§ 124 – 127, m.w.H.). Dies ist ihm – wie die vorstehenden Erwägungen im Asylpunkt zeigen – nicht gelungen. Auch wenn sich die allgemeine Menschenrechtssituation in der Türkei in den letzten Jahren (namentlich seit dem Putschversuch im Jahr 2016) verschlechtert hat, lässt sie den Wegweisungsvollzug im heutigen Zeitpunkt ebenfalls nicht als un- zulässig erscheinen.</w:t>
      </w:r>
    </w:p>
    <w:p>
      <w:r>
        <w:rPr>
          <w:b/>
        </w:rPr>
        <w:t>E. 7.2.4</w:t>
      </w:r>
    </w:p>
    <w:p>
      <w:r>
        <w:t>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In der Türkei herrscht weder Krieg oder Bürgerkrieg noch eine lan- desweite Situation allgemeiner Gewalt, aufgrund welcher eine Rückkehr generell unzumutbar wäre. An dieser Einschätzung vermag weder das Wiederaufflammen des türkisch-kurdischen Konflikts seit Juli 2015 noch die sicherheitspolitische Entwicklung nach dem Putschversuch im Juli 2016 etwas zu ändern (vgl. statt vieler die Urteile des BVGer D-1466/2021 vom 6. August 2021 E. 9.3.2 sowie E-2182/2020 vom 17. Dezember 2020 E. 12.4.1, je m. H.). Lediglich in Bezug auf die Provinzen Hakkari und Sirnak erachtet das Bundesverwaltungsgericht den Wegweisungsvollzug aufgrund einer anhaltenden Situation allgemeiner Gewalt als unzumutbar (vgl. BVGE 2013/2 E.9.6; Referenzurteil des BVGer E-1948/2018 vom</w:t>
      </w:r>
    </w:p>
    <w:p>
      <w:r>
        <w:t>D-2959/2021 Seite 14</w:t>
      </w:r>
    </w:p>
    <w:p>
      <w:r>
        <w:rPr>
          <w:b/>
        </w:rPr>
        <w:t>E. 7.3.2</w:t>
      </w:r>
    </w:p>
    <w:p>
      <w:r>
        <w:t>Es sind ferner auch keine individuellen Gründe ersichtlich, welche ei- nem Vollzug der Wegweisung entgegenstehen könnten. Wie bereits das SEM zutreffend festgestellt hat, verfügt der Beschwerdeführer am Her- kunftsort über ein familiäres Beziehungsnetz, welches ihn bei Bedarf un- terstützen kann. Den entsprechenden vorinstanzlichen Erwägungen ver- mag er nichts Substanzielles entgegenzusetzen. Insbesondere überzeugt der Einwand, seine Verwandten könnten und wollten ihm nicht helfen, da sie eine andere Weltanschauung hätten und nicht mit ihm in Verbindung gebracht werden wollten, nicht. Seinen Angaben zufolge lebte er vor der Ausreise einige Zeit bei seinen Grosseltern sowie in einer von einem Onkel gemieteten Wohnung (vgl. A23 S. 7 f.), und es ist nicht ersichtlich, weshalb diese Unterbringungskonstellationen bei seiner Rückkehr nicht mehr ver- fügbar sein sollten. Der Beschwerdeführer leidet laut Arztbericht vom 6. Dezember 2021 an (…) und wird (…) behandelt. Es ist ohne weiteres davon auszugehen, dass er die (…) bei Bedarf auch in der Türkei adäquat behandeln lassen kann, zumal er offenbar schon vor der Ausreise deswe- gen beim Arzt war (vgl. den eingereichten türkischen Arztbericht vom 2. September 2019). Sodann ist es dem heute (…)-jährigen Beschwerde- führer grundsätzlich auch zuzumuten, nach seiner Rückkehr einer Er- werbstätigkeit nachzugehen, da er über eine solide Schulbildung sowie Ar- beitserfahrung in verschiedenen Bereichen verfügt (vgl. A23 F23 ff.). Sollte er nicht in der Lage sein, seinen Lebensunterhalt selbständig zu bestreiten, so ist es ihm unbenommen, seine in der Schweiz lebende Kernfamilie um finanzielle Unterstützung zu bitten. Insgesamt ist demnach nicht davon auszugehen, dass er bei einer Rückkehr in die Türkei aus wirtschaftlichen, gesundheitlichen oder sozialen Gründen in eine existenzielle Notlage ge- raten würde.</w:t>
      </w:r>
    </w:p>
    <w:p>
      <w:r>
        <w:rPr>
          <w:b/>
        </w:rPr>
        <w:t>E. 7.3.3</w:t>
      </w:r>
    </w:p>
    <w:p>
      <w:r>
        <w:t>Der Vollzug der Wegweisung des Beschwerdeführers in die Türkei ist nach dem Gesagten sowohl in genereller als auch in individueller Hinsicht als zumutbar zu erachten.</w:t>
      </w:r>
    </w:p>
    <w:p>
      <w:r>
        <w:rPr>
          <w:b/>
        </w:rPr>
        <w:t>E. 7.4</w:t>
      </w:r>
    </w:p>
    <w:p>
      <w:r>
        <w:t>Da der Beschwerdeführer über einen (…) gültigen Reisepass verfügt (vgl. A14 Ziff. 4.01), ist der Vollzug der Wegweisung auch als möglich zu bezeichnen (Art. 83 Abs. 2 AIG). Die aktuelle Corona-Pandemie steht dem Wegweisungsvollzug ebenfalls nicht entgegen; denn es handelt sich dabei – wenn überhaupt – um ein</w:t>
      </w:r>
    </w:p>
    <w:p>
      <w:r>
        <w:t>D-2959/2021 Seite 15 bloss temporäres Vollzugshindernis, welchem somit im Rahmen der Voll- zugsmodalitäten durch die kantonalen Behörden Rechnung zu tragen ist.</w:t>
      </w:r>
    </w:p>
    <w:p>
      <w:r>
        <w:rPr>
          <w:b/>
        </w:rPr>
        <w:t>E. 7.5</w:t>
      </w:r>
    </w:p>
    <w:p>
      <w:r>
        <w:t>Zusammenfassend ist festzustellen, dass die Vorinstanz den Wegwei- sungsvollzug zu Recht als zulässig, zumutbar und möglich bezeichnet hat. Eine Anordnung der vorläufigen Aufnahme fällt damit ausser Betracht (Art. 83 Abs. 1–4 AIG). 8. Aus diesen Erwägungen ergibt sich, dass die angefochtene Verfügung Bundesrecht nicht verletzt, den rechtserheblichen Sachverhalt richtig und vollständig feststellt (Art. 106 Abs. 1 AsylG) und – soweit diesbezüglich überprüfbar – angemessen ist. Die Beschwerde ist demnach abzuweisen. 9. 9.1 Bei diesem Ausgang des Verfahrens wären dessen Kosten dem Be- schwerdeführer aufzuerlegen (Art. 63 Abs. 1 VwVG). Nachdem jedoch das Gesuch um unentgeltliche Prozessführung mit Zwischenverfügung vom</w:t>
      </w:r>
    </w:p>
    <w:p>
      <w:r>
        <w:rPr>
          <w:b/>
        </w:rPr>
        <w:t>E. 8</w:t>
      </w:r>
    </w:p>
    <w:p>
      <w:r>
        <w:t>Aus diesen Erwägungen ergibt sich, dass die angefochtene Verfügung Bundesrecht nicht verletzt, den rechtserheblichen Sachverhalt richtig und vollständig feststellt (Art. 106 Abs. 1 AsylG) und - soweit diesbezüglich überprüfbar - angemessen ist. Die Beschwerde ist demnach abzuweisen.</w:t>
      </w:r>
    </w:p>
    <w:p>
      <w:r>
        <w:rPr>
          <w:b/>
        </w:rPr>
        <w:t>E. 9.1</w:t>
      </w:r>
    </w:p>
    <w:p>
      <w:r>
        <w:t>Bei diesem Ausgang des Verfahrens wären dessen Kosten dem Beschwerdeführer aufzuerlegen (Art. 63 Abs. 1 VwVG). Nachdem jedoch das Gesuch um unentgeltliche Prozessführung mit Zwischenverfügung vom 15. Juli 2021 gutgeheissen worden ist, werden keine Verfahrenskosten erhoben.</w:t>
      </w:r>
    </w:p>
    <w:p>
      <w:r>
        <w:rPr>
          <w:b/>
        </w:rPr>
        <w:t>E. 9.2</w:t>
      </w:r>
    </w:p>
    <w:p>
      <w:r>
        <w:t>Mit derselben Zwischenverfügung wurde auch das Gesuch um amtliche Verbeiständung gutgeheissen. Die Festsetzung des amtlichen Honorars erfolgt in Anwendung der Art. 8-11 sowie Art. 12 des Reglements vom 21. Februar 2008 über die Kosten und Entschädigungen vor dem Bundesverwaltungsgericht (VGKE, SR 173.320.2). In der (letztmals am 21. Februar 2022 aktualisierten) Kostennote wird ein Aufwand von 12 Stunden sowie Auslagen von Fr. 59.- geltend gemacht, was angemessen erscheint. Der für den Fall des Unterliegens ausgewiesene Stundenansatz von Fr. 150.- bewegt sich im Rahmen der vom Gericht festgelegten Praxis bei amtlicher Vertretung (vgl. dazu bereits die Ausführungen in der Zwischenverfügung vom 15. Juli 2021). Demnach ist der amtlichen Vertreterin zu Lasten des Bundesverwaltungsgerichts ein Honorar von insgesamt Fr. 1'859.- zuzusprechen. (Dispositiv nächste Seite)</w:t>
      </w:r>
    </w:p>
    <w:p>
      <w:r>
        <w:rPr>
          <w:b/>
        </w:rPr>
        <w:t>E. 12</w:t>
      </w:r>
    </w:p>
    <w:p>
      <w:r>
        <w:t>Juni 2018 E. 7.3.1). Der Beschwerdeführer stammt indessen nicht aus einer dieser zwei Provinzen, sondern aus der Provinz Izmir.</w:t>
      </w:r>
    </w:p>
    <w:p>
      <w:r>
        <w:rPr>
          <w:b/>
        </w:rPr>
        <w:t>E. 15</w:t>
      </w:r>
    </w:p>
    <w:p>
      <w:r>
        <w:t>Juli 2021 gutgeheissen worden ist, werden keine Verfahrenskosten er- hoben. 9.2 Mit derselben Zwischenverfügung wurde auch das Gesuch um amtli- che Verbeiständung gutgeheissen. Die Festsetzung des amtlichen Hono- rars erfolgt in Anwendung der Art. 8–11 sowie Art. 12 des Reglements vom 21. Februar 2008 über die Kosten und Entschädigungen vor dem Bundes- verwaltungsgericht (VGKE, SR 173.320.2). In der (letztmals am 21. Feb- ruar 2022 aktualisierten) Kostennote wird ein Aufwand von 12 Stunden so- wie Auslagen von Fr. 59.– geltend gemacht, was angemessen erscheint. Der für den Fall des Unterliegens ausgewiesene Stundenansatz von Fr. 150.– bewegt sich im Rahmen der vom Gericht festgelegten Praxis bei amtlicher Vertretung (vgl. dazu bereits die Ausführungen in der Zwischen- verfügung vom 15. Juli 2021). Demnach ist der amtlichen Vertreterin zu Lasten des Bundesverwaltungsgerichts ein Honorar von insgesamt Fr. 1’859.– zuzusprechen. (Dispositiv nächste Seite)</w:t>
      </w:r>
    </w:p>
    <w:p>
      <w:r>
        <w:t>D-2959/2021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