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D-2957/2024 vom 9. April 2024</w:t>
      </w:r>
    </w:p>
    <w:p>
      <w:r>
        <w:t>Bundesverwaltungsgericht, 2024-04-09, DE</w:t>
      </w:r>
    </w:p>
    <w:p>
      <w:r>
        <w:rPr>
          <w:b/>
        </w:rPr>
        <w:t xml:space="preserve">Quelle: </w:t>
      </w:r>
      <w:r>
        <w:t>https://mcp.opencaselaw.ch/entscheid/bvger_D-2957_2024_d20240409</w:t>
      </w:r>
    </w:p>
    <w:p>
      <w:r>
        <w:t>FR: TAF D-2957/2024 du 9 avril 2024</w:t>
      </w:r>
    </w:p>
    <w:p>
      <w:r>
        <w:t>IT: TAF D-2957/2024 del 9 aprile 2024</w:t>
      </w:r>
    </w:p>
    <w:p>
      <w:pPr>
        <w:pStyle w:val="Heading2"/>
      </w:pPr>
      <w:r>
        <w:t>Regeste</w:t>
      </w:r>
    </w:p>
    <w:p>
      <w:r>
        <w:t>Asyl und Wegweisung (Mehrfachgesuch) | Asyl und Wegweisung (Mehrfachgesuch); Verfügung des SEM vom 9. April 2024</w:t>
      </w:r>
    </w:p>
    <w:p>
      <w:pPr>
        <w:pStyle w:val="Heading2"/>
      </w:pPr>
      <w:r>
        <w:t>Erwägungen</w:t>
      </w:r>
    </w:p>
    <w:p>
      <w:r>
        <w:rPr>
          <w:b/>
        </w:rPr>
        <w:t>E. 12</w:t>
      </w:r>
    </w:p>
    <w:p>
      <w:r>
        <w:t>Dezember 2023, E.8.4), dass die allgemein schlechte Sicherheitslage im Heimatstaat keinen Nach- teil im Sinne von Art. 3 AsylG darstellt, zumal die gesamte lokale Bevölke- rung davon gleichermassen betroffen ist, dass es dem Beschwerdeführer somit nicht gelingt, die Flüchtlingseigen- schaft nachzuweisen oder zumindest glaubhaft zu machen, weshalb die Vorinstanz sein Mehrfachgesuch zu Recht abgewiesen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w:t>
      </w:r>
    </w:p>
    <w:p>
      <w:r>
        <w:t>D-2957/2024 Seite 7 dass das SEM das Anwesenheitsverhältnis nach den gesetzlichen Bestimmungen über die vorläufige Aufnahme regelt, wenn der Vollzug der Wegweisung nicht zulässig, nicht zumutbar oder nicht möglich ist (Art. 44 AsylG; Art. 83 Abs. 1–4 AIG [SR 142.20]), dass der Vollzug nicht zulässig ist,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dass der Vollzug für Ausländerinnen und Ausländer unzumutbar ist, wenn sie im Heimat- oder Herkunftsstaat aufgrund von Situationen wie Krieg, Bürgerkrieg, allgemeiner Gewalt oder medizinischer Notlage konkret ge- fährdet sind (Art. 83 Abs. 4 AIG), dass der Vollzug nicht möglich ist, wenn die Ausländerin oder der Auslän- der weder in den Heimat- oder in den Herkunftsstaat noch in einen Dritt- staat ausreisen oder dorthin gebracht werden kann (Art. 83 Abs. 2 AIG), dass bezüglich der Geltendmachung von Wegweisungsvollzugs- hindernissen gemäss Praxis des Bundesverwaltungsgerichts der gleiche Beweisstandard wie bei der Flüchtlingseigenschaft gilt (vgl. BVGE 2011/24 E. 10.2 m.w.H.), dass die Vorinstanz den Wegweisungsvollzug des Beschwerdeführers zu Recht als zulässig, zumutbar und möglich erkannte und zur Vermeidung von Wiederholungen hierzu vollumfänglich auf die zutreffenden und ausführlichen Erwägungen der Vorinstanz in der angefochtenen Verfügung zu verweisen ist (Rückschiebungsverbot mangels Flüchtlingseigenschaft nicht betroffen, keine Hinweise auf drohende menschenrechtswidrige Behandlung, keine Situation allgemeiner Gewalt oder Hinweise auf eine existenzielle Notlage), dass auch die Beschwerde diesbezüglich nicht zu einer anderen Betrachtungsweise führt, zumal die Ausführungen der Vorinstanz nicht bestritten werden, dass die Anordnung der vorläufigen Aufnahme somit ausser Betracht fällt (Art. 83 Abs. 1-4 AIG),</w:t>
      </w:r>
    </w:p>
    <w:p>
      <w:r>
        <w:t>D-2957/2024 Seite 8 dass die Beschwerde nach dem Gesagten abzuweisen ist, dass bei diesem Ausgang des Verfahrens die Kosten dem Beschwerde- führer aufzuerlegen (Art. 63 Abs. 1 VwVG) und auf insgesamt Fr. 2'000.–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D-2957/2024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