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D-2957/2024 vom 4. September 2024</w:t>
      </w:r>
    </w:p>
    <w:p>
      <w:r>
        <w:t>Bundesverwaltungsgericht, 2024-09-04, DE</w:t>
      </w:r>
    </w:p>
    <w:p>
      <w:r>
        <w:rPr>
          <w:b/>
        </w:rPr>
        <w:t xml:space="preserve">Quelle: </w:t>
      </w:r>
      <w:r>
        <w:t>https://mcp.opencaselaw.ch/entscheid/bvger_D-2957_2024</w:t>
      </w:r>
    </w:p>
    <w:p>
      <w:r>
        <w:t>FR: TAF D-2957/2024 du 4 septembre 2024</w:t>
      </w:r>
    </w:p>
    <w:p>
      <w:r>
        <w:t>IT: TAF D-2957/2024 del 4 settembre 2024</w:t>
      </w:r>
    </w:p>
    <w:p>
      <w:pPr>
        <w:pStyle w:val="Heading2"/>
      </w:pPr>
      <w:r>
        <w:t>Regeste</w:t>
      </w:r>
    </w:p>
    <w:p>
      <w:r>
        <w:t>Asyl und Wegweisung (Mehrfachgesuch)</w:t>
      </w:r>
    </w:p>
    <w:p>
      <w:pPr>
        <w:pStyle w:val="Heading2"/>
      </w:pPr>
      <w:r>
        <w:t>Erwägungen</w:t>
      </w:r>
    </w:p>
    <w:p>
      <w:r>
        <w:rPr>
          <w:b/>
        </w:rPr>
        <w:t>E. 12</w:t>
      </w:r>
    </w:p>
    <w:p>
      <w:r>
        <w:t>Dezember 2023, E.8.4), dass die allgemein schlechte Sicherheitslage im Heimatstaat keinen Nach- teil im Sinne von Art. 3 AsylG darstellt, zumal die gesamte lokale Bevölke- rung davon gleichermassen betroffen ist, dass es dem Beschwerdeführer somit nicht gelingt, die Flüchtlingseigen- schaft nachzuweisen oder zumindest glaubhaft zu machen, weshalb die Vorinstanz sein Mehrfachgesuch zu Recht abgewiesen hat, dass die Anordnung der Wegweisung aus der Schweiz im Einklang mit den gesetzlichen Bestimmungen steht und zu bestätigen ist, da der Beschwerdeführer weder über einen Aufenthaltstitel für die Schweiz noch über eine Anspruchsgrundlage auf Erteilung eines solchen verfügt (Art. 44 [erster Satz] AsylG; vgl. BVGE 2013/37 E. 4.4; 2009/50 E. 9, je m.w.H.),</w:t>
      </w:r>
    </w:p>
    <w:p>
      <w:r>
        <w:t>D-2957/2024 Seite 7 dass das SEM das Anwesenheitsverhältnis nach den gesetzlichen Bestimmungen über die vorläufige Aufnahme regelt, wenn der Vollzug der Wegweisung nicht zulässig, nicht zumutbar oder nicht möglich ist (Art. 44 AsylG; Art. 83 Abs. 1–4 AIG [SR 142.20]), dass der Vollzug nicht zulässig ist, wenn völkerrechtliche Verpflichtungen der Schweiz (insb. Art. 5 Abs. 1 AsylG, Art. 33 Abs. 1 FK, Art. 25 Abs. 3 BV, Art. 3 des Übereinkommens vom 10. Dezember 1984 gegen Folter und an- dere grausame, unmenschliche oder erniedrigende Behandlung oder Strafe [FoK, SR 0.105] und Art. 3 EMRK) einer Weiterreise der Ausländerin oder des Ausländers in den Heimat-, Herkunfts- oder einen Drittstaat ent- gegenstehen (Art. 83 Abs. 3 AIG), dass der Vollzug für Ausländerinnen und Ausländer unzumutbar ist, wenn sie im Heimat- oder Herkunftsstaat aufgrund von Situationen wie Krieg, Bürgerkrieg, allgemeiner Gewalt oder medizinischer Notlage konkret ge- fährdet sind (Art. 83 Abs. 4 AIG), dass der Vollzug nicht möglich ist, wenn die Ausländerin oder der Auslän- der weder in den Heimat- oder in den Herkunftsstaat noch in einen Dritt- staat ausreisen oder dorthin gebracht werden kann (Art. 83 Abs. 2 AIG), dass bezüglich der Geltendmachung von Wegweisungsvollzugs- hindernissen gemäss Praxis des Bundesverwaltungsgerichts der gleiche Beweisstandard wie bei der Flüchtlingseigenschaft gilt (vgl. BVGE 2011/24 E. 10.2 m.w.H.), dass die Vorinstanz den Wegweisungsvollzug des Beschwerdeführers zu Recht als zulässig, zumutbar und möglich erkannte und zur Vermeidung von Wiederholungen hierzu vollumfänglich auf die zutreffenden und ausführlichen Erwägungen der Vorinstanz in der angefochtenen Verfügung zu verweisen ist (Rückschiebungsverbot mangels Flüchtlingseigenschaft nicht betroffen, keine Hinweise auf drohende menschenrechtswidrige Behandlung, keine Situation allgemeiner Gewalt oder Hinweise auf eine existenzielle Notlage), dass auch die Beschwerde diesbezüglich nicht zu einer anderen Betrachtungsweise führt, zumal die Ausführungen der Vorinstanz nicht bestritten werden, dass die Anordnung der vorläufigen Aufnahme somit ausser Betracht fällt (Art. 83 Abs. 1-4 AIG),</w:t>
      </w:r>
    </w:p>
    <w:p>
      <w:r>
        <w:t>D-2957/2024 Seite 8 dass die Beschwerde nach dem Gesagten abzuweisen ist, dass bei diesem Ausgang des Verfahrens die Kosten dem Beschwerde- führer aufzuerlegen (Art. 63 Abs. 1 VwVG) und auf insgesamt Fr. 2'000.– festzusetzen sind (Art. 1–3 des Reglements vom 21. Februar 2008 über die Kosten und Entschädigungen vor dem Bundesverwaltungsgericht [VGKE, SR 173.320.2]), wobei sie durch den in gleicher Höhe geleisteten Kostenvorschuss gedeckt sind.</w:t>
      </w:r>
    </w:p>
    <w:p>
      <w:r>
        <w:t>(Dispositiv nächste Seite)</w:t>
      </w:r>
    </w:p>
    <w:p>
      <w:r>
        <w:t>D-2957/2024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