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D-2954/2019 vom 18. Juli 2019</w:t>
      </w:r>
    </w:p>
    <w:p>
      <w:r>
        <w:t>Bundesverwaltungsgericht, 2019-07-18, IT</w:t>
      </w:r>
    </w:p>
    <w:p>
      <w:r>
        <w:rPr>
          <w:b/>
        </w:rPr>
        <w:t xml:space="preserve">Quelle: </w:t>
      </w:r>
      <w:r>
        <w:t>https://mcp.opencaselaw.ch/entscheid/bvger_D-2954_2019</w:t>
      </w:r>
    </w:p>
    <w:p>
      <w:r>
        <w:t>FR: TAF D-2954/2019 du 18 juillet 2019</w:t>
      </w:r>
    </w:p>
    <w:p>
      <w:r>
        <w:t>IT: TAF D-2954/2019 del 18 luglio 2019</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V'è un accertamento inesatto quando la decisione si fonda su fatti incorretti e non conformi agli atti, e un accertamento incompleto quando non è tenuto conto di tutte le circostanze giuridicamente rilevanti (cfr. DTAF 2015/10 consid. 3.2 con rinvii; Kölz/Häner/Bertschi, Verwaltungsverfahren und Verwaltungsrechtspflege des Bundes, 3a ed. 2013, n. 1043, pag. 369 segg.). In tale contesto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la decisione va annullata ed il caso retrocesso all'autorità di prima istanza, di modo che questa possa procedere ad un nuovo e completo accertamento dei fatti (cfr. Moser/Beusch/Kneubühler, op. cit., n. 2.191, sentenza del Tribunale D-1443/2016 del 22 febbraio 2017 consid. 4.2).</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di principio non viene effettuato un nuovo esame di determinazione dello stato membro competente secondo il capo III (cfr. DTAF 2017 VI/5 consid. 6.2 e 8.2).</w:t>
      </w:r>
    </w:p>
    <w:p>
      <w:r>
        <w:rPr>
          <w:b/>
        </w:rPr>
        <w:t>E. 4.4</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5</w:t>
      </w:r>
    </w:p>
    <w:p>
      <w:r>
        <w:t>Nel caso di specie l'interessato ha depositato una domanda d'asilo in Germania il 26 aprile 2016. Su tali presupposti, il 13 maggio 2019, la SEM ha presentato alle autorità tedesche, nei termini fissati all'art. 23 par. 2 Regolamento Dublino III, una richiesta di ripresa in carico fondata sull'art. 18 par. 1 lett. b Regolamento Dublino III. Il 15 maggio 2019 le autorità tedesche hanno accolto la succitata richiesta. Di conseguenza, la competenza della Germania, risulta di principio essere data nella fattispecie. D'altro canto, è a giusto titolo che l'autorità inferiore non ha esaminato l'applicabilità dell'art. 9 Regolamento Dublino III, trattandosi di una procedura di ripresa in carico per la quale non si necessita un nuovo dello stato membro competente secondo il capo III (cfr. supra consid. 4.3 e DTAF 2012/4 consid. 3.2). La questione non è del resto espressamente contestata in sede ricorsuale.</w:t>
      </w:r>
    </w:p>
    <w:p>
      <w:r>
        <w:rPr>
          <w:b/>
        </w:rPr>
        <w:t>E. 6.1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6.2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6.3</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 Tra le disposizioni in questione rientra anche l'art. 8 CEDU (cfr. DTAF 2013/24 consid. 5), secondo il quale ogni persona ha diritto al rispetto della sua vita privata e familiare, del suo domicilio e della sua corrispondenza e il cui scopo è segnatamente quello di proteggere le relazioni con la famiglia nucleare, in particolare con il coniuge ed i figli minori (cfr. DTF 137 I 113 consid. 6.1; DTAF 2008/47 consid. 4.1, sentenza del Tribunale D-2393/2019 del 22 maggio 2019).</w:t>
      </w:r>
    </w:p>
    <w:p>
      <w:r>
        <w:rPr>
          <w:b/>
        </w:rPr>
        <w:t>E. 6.4</w:t>
      </w:r>
    </w:p>
    <w:p>
      <w:r>
        <w:t>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6.5</w:t>
      </w:r>
    </w:p>
    <w:p>
      <w:r>
        <w:t>Secondo la giurisprudenza del Tribunale federale, per poter invocare il diritto al rispetto della vita famigliare ex art. 8 CEDU lo straniero non soltanto deve provare la presenza di una relazione stretta ed effettiva con una persona della sua famiglia, ma pure che quest'ultima sia beneficiaria di un diritto di presenza garantito o duraturo in Svizzera (cfr. tra le altre DTF 137 I 351, consid. 3.1; 135 I 143 consid. 1.3.1; DTAF 2013/49 consid. 8.4.1 con rinvii, 2012/4 consid. 4.3 con giurisprudenza ivi citata). Occorre tuttavia sottolineare che tale prassi giurisprudenziale è stata elaborata nell'ambito dei casi di rifiuto del rinnovo di permessi soggiacenti alla legislazione ordinaria sugli stranieri ed è trasponibile solo con le dovute riserve nell'ambito delle fattispecie trattanti i meccanismi del Regolamento Dublino III (cfr. in questo senso segnatamente sentenze del Tribunale E-8349/2015 del 23 agosto 2017 consid. 5.2, E-2457/2016 del 9 maggio 2016 consid. 3.2; D-7410/2014 e D-7547/2014 du sel 24 agosto 2015, consid. 7.7, E-6169/2014 e E-6167/2014 del 16 dicembre 2014 consid. 5.3 ; Monnet Jean-Pierre, La jurisprudence du Tribunal administratif fédéral en matière de transferts Dublin, in Schengen et Dublin en pratique, questions actuelles, 2015, pag. 433).</w:t>
      </w:r>
    </w:p>
    <w:p>
      <w:r>
        <w:rPr>
          <w:b/>
        </w:rPr>
        <w:t>E. 7.1</w:t>
      </w:r>
    </w:p>
    <w:p>
      <w:r>
        <w:t>Ora, nel caso in disanima l'autorità intimata ha posto l'accento sull'assenza di diritto di presenza garantito o duraturo in Svizzera della presunta moglie e del presunto figlio del ricorrente. La SEM ha invece solo in parte esaminato la possibile incidenza dell'asserito matrimonio religioso che a mente del ricorrente sarebbe poi stato trasposto in civile e per il quale una procedura di riconoscimento risulta a tutt'oggi pendente in Svizzera. In primo luogo, va ricordato che qualora l'unione coniugale venga riconosciuta, il figlio andrebbe con ogni probabilità ritenuto comune, cosa che implicherebbe un certo riserbo nella valutazione della strettezza della relazione. Del resto, va sottolineato che i matrimoni religiosi contratti nei paesi musulmani possono, in determinate circostanze, già essere apparentati a quelli civili (cfr. sentenza del Tribunale D-3202/2019 del 27 giugno 2019). Oltremodo, l'insorgente ha prodotto diversi documenti in originale a sostegno dell'asserita unione coniugale. Ebbene, quand'anche le allegazioni dell'interessato potessero in parte risultare contraddittorie rispetto ai medesimi, non si pu prescindere dal valutarli accuratamente posta la potenziale rilevanza sull'esito della procedura. Si denoti in particolare il doc. a, che la SEM non sembra aver richiesto in visione in originale alle autorità dello stato civile, accontentandosi di esprimere le proprie riserve sulla base di valutazioni meramente contenutistiche ed a tratti generiche, che non possono avere quale risultanza quella di privare di ogni valenza i mezzi di prova per la sola eventualità di una possibile contraffazione, che andrebbe piuttosto apprezzata sulla base di indizi concreti dopo aver preso in consegna la documentazione in originale. Così facendo, la SEM è venuta meno al suo obbligo di accertare d'ufficio i fatti giuridicamente rilevanti.</w:t>
      </w:r>
    </w:p>
    <w:p>
      <w:r>
        <w:rPr>
          <w:b/>
        </w:rPr>
        <w:t>E. 7.2</w:t>
      </w:r>
    </w:p>
    <w:p>
      <w:r>
        <w:t>Pertanto, appare in specie quantomeno giudizioso, anche in considerazione degli ulteriori documenti prodotti all'attenzione dello stato civile di Svitto (doc. b e c), retrocedere l'incarto all'autorità inferiore per un complemento dell'istruzione, posto che il Tribunale non è attualmente in misura di esprimersi con cognizione di causa sull'integralità degli elementi da giudicare privando inoltre l'insorgente del beneficio della doppia istanza (cfr. DTAF 2012/21 consid. 5). Il ricorso è dunque accolto, la decisione della SEM del 3 giugno 2019 è annullata e gli atti di causa sono trasmessi all'autorità inferiore per completamento dell'istruttoria e l'emanazione di una nuova decisione (art. 61 cpv. 1 PA).</w:t>
      </w:r>
    </w:p>
    <w:p>
      <w:r>
        <w:rPr>
          <w:b/>
        </w:rPr>
        <w:t>E. 7.3</w:t>
      </w:r>
    </w:p>
    <w:p>
      <w:r>
        <w:t>L'autorità inferiore avrà premura di esaminare l'integralità dei documenti prodotti a sostegno della presunta unione coniugale (in particolare i doc. a, doc. b, doc. c, oltre alla documentazione già prodotta in corso di procedura), idealmente chiedendo in visione gli originali presso le autorità dello stato civile. Essa ne verificherà l'autenticità così come l'esistenza dei presupposti che possano condurre ad un riconoscimento in Svizzera dell'unione coniugale e della - se del caso consequenziale - paternità. Si coordinerà con le altre autorità svizzere competenti in materia avendo premura di sincerarsi circa l'avanzamento delle procedure avviate dinanzi alle medesime. Potrà in seguito statuire nuovamente avendo raccolto tutte le informazioni necessarie per esprimersi in merito al trasferimento del ricorrente verso la Germania, tenendo conto dell'incidenza dei legami con i presunti famigliari presenti in Svizzera nell'ambito dell'applicazione dell'art. 8 CEDU alle condizioni sopracitate (cfr. supra consid. 7.5; caso analogo nella sentenza D-3202/2019).</w:t>
      </w:r>
    </w:p>
    <w:p>
      <w:r>
        <w:rPr>
          <w:b/>
        </w:rPr>
        <w:t>E. 7.4</w:t>
      </w:r>
    </w:p>
    <w:p>
      <w:r>
        <w:t>Si rammenta che le istruzioni a margine risultano vincolanti, nella misura in cui il dispositivo della sentenza prevede l'annullamento ai sensi dei considerandi (cfr. BENOÎT BOVAY, Procédure administrative, 2a ed. 2015, pag. 63; sentenza del Tribunale federale 9C_522/2007 del 17 giugno 2008, consid. 3.1)</w:t>
      </w:r>
    </w:p>
    <w:p>
      <w:r>
        <w:rPr>
          <w:b/>
        </w:rPr>
        <w:t>E. 8</w:t>
      </w:r>
    </w:p>
    <w:p>
      <w:r>
        <w:t>Visto l'esito della procedura, non sono riscosse delle spese processuali (art. 63 cpv. 1 PA). Inoltre che ai sensi dell'art. 111ter LAsi non sono attribuite indennità ripetibili quanto il ricorrente è assistito dal rappresentante legale designato dalla SEM a norma dell'art. 102h LAsi.</w:t>
      </w:r>
    </w:p>
    <w:p>
      <w:r>
        <w:rPr>
          <w:b/>
        </w:rPr>
        <w:t>E. 9</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accolto. 2. La decisione della SEM del 3 giugno 2019 è annullata. 3. Gli atti di causa sono ritrasmessi alla SEM per il completamento dell'istruttoria e la pronuncia di una nuova decisione ai sensi dei considerandi. 4. Non si prelevano spese processuali. 5. Non sono accordate spese ripetibili. 6. Questa sentenza è comunicata al ricorrente, alla SEM e all'autorità cantonale. Il presidente del collegio: Il cancelliere: Daniele Cattaneo Lorenzo Rapelli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