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D-2951/2023 vom 31. Mai 2023</w:t>
      </w:r>
    </w:p>
    <w:p>
      <w:r>
        <w:t>Bundesverwaltungsgericht, 2023-05-31, DE</w:t>
      </w:r>
    </w:p>
    <w:p>
      <w:r>
        <w:rPr>
          <w:b/>
        </w:rPr>
        <w:t xml:space="preserve">Quelle: </w:t>
      </w:r>
      <w:r>
        <w:t>https://mcp.opencaselaw.ch/entscheid/bvger_D-2951_2023</w:t>
      </w:r>
    </w:p>
    <w:p>
      <w:r>
        <w:t>FR: TAF D-2951/2023 du 31 mai 2023</w:t>
      </w:r>
    </w:p>
    <w:p>
      <w:r>
        <w:t>IT: TAF D-2951/2023 del 31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Artikel 23, 24, 25 und 29 wiederaufzunehmen.</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Vorliegend ergab ein Abgleich der Fingerabdrücke des Beschwerdeführers mit der Eurodac-Datenbank, dass dieser am 4. April 2023 in Kroatien um Asyl ersucht hatte. Zwar erklärt der Beschwerdeführer, sein Zielort sei die Schweiz gewesen. Er bestreitet indessen nicht, dass er zweimal in Kroatien eingereist und beim zweiten Mal in K._______ an einem Checkpoint aufgegriffen und in ein Camp gebracht worden ist (vgl. SEM act. [...]-10/2). Es ist nicht ersichtlich, weshalb er in Kroatien als asylsuchende Person erfasst worden sein sollte, wenn er keine entsprechende Äusserung getätigt hätte. Die kroatischen Behörden haben sich sodann - entgegen der aktenwidrigen Behauptung in der Beschwerde (vgl. a.a.O, Ziff. II. 2., S. 4) - bereit erklärt, ihn wiederaufzunehmen (vgl. SEM act. [...]-17/2). Für Durchführung des Asylverfahrens ist mithin grundsätzlich Kroatien zuständig. Daran ändert auch der Umstand nichts, dass die Zustimmung gestützt auf die Bestimmung von Art. 20 Abs. 5 Dublin-III-VO erfolgte (vgl. etwa die Urteile des BVGer D-5978/2022 vom 18. Januar 2023 E. 5.5 und E-5839/2022 vom 22. Dezember 2022 E. 6 m.w.H.).</w:t>
      </w:r>
    </w:p>
    <w:p>
      <w:r>
        <w:rPr>
          <w:b/>
        </w:rPr>
        <w:t>E. 6.1</w:t>
      </w:r>
    </w:p>
    <w:p>
      <w:r>
        <w:t>In der Beschwerde wird auf die Gewalt kroatischer Behörden gegenüber illegal eingereisten Ausländern und Asylsuchenden hingewiesen und aufgrund geltend gemachter systematischer Mängel im Asyl- und Aufnahmesystems Kroatiens die Anwendung von Art. 3 Abs. 2 Sätze 2 und 3 Dublin-III-VO gefordert.</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Im Referenzurteil E-1488/2020 vom 22. März 2023 hat das Bundesverwaltungsgericht - unter Berücksichtigung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 Für eine Änderung der Rechtsprechung besteht - trotz Hinweisen in der Beschwerde auf Berichte der Schweizerischen Flüchtlingshilfe aus dem Jahr 2021 - keine Veranlassung.</w:t>
      </w:r>
    </w:p>
    <w:p>
      <w:r>
        <w:rPr>
          <w:b/>
        </w:rPr>
        <w:t>E. 6.4</w:t>
      </w:r>
    </w:p>
    <w:p>
      <w:r>
        <w:t>Eine Anwendung von Art. 3 Abs. 2 Sätze 2 und 3 Dublin-III-VO erweist sich demnach als nicht gerechtfertigt.</w:t>
      </w:r>
    </w:p>
    <w:p>
      <w:r>
        <w:rPr>
          <w:b/>
        </w:rPr>
        <w:t>E. 7.1</w:t>
      </w:r>
    </w:p>
    <w:p>
      <w:r>
        <w:t>Den Akten sind sodann keine Anhaltspunkte zu entnehmen, die eine Ausübung des Selbsteintrittsrechts der Schweiz nach Art. 17 Abs. 1 Satz 1 Dublin-III-VO verlangen würden.</w:t>
      </w:r>
    </w:p>
    <w:p>
      <w:r>
        <w:rPr>
          <w:b/>
        </w:rPr>
        <w:t>E. 7.2</w:t>
      </w:r>
    </w:p>
    <w:p>
      <w:r>
        <w:t>Das Bundesverwaltungsgericht verkennt - mit Verweis auf die Vorbringen des Beschwerdeführers anlässlich des Dublin-Gesprächs, in der Eingabe vom 26. April 2023 und in der Beschwerde - nicht, dass der Empfang und die Aufnahmebedingungen für Asylsuchende in Kroatien problematisch sein können. Der Beschwerdeführer vermag indessen mit seinen entsprechenden Vorbringen nicht darzutun, dass er in Kroatien - nach legaler Rückkehr aus einem Dublin-Mitgliedstaat - kein faires Asylverfahren erhalten würde und er ernsthaft Gefahr laufen würde, bei einer Rückkehr dorthin unmenschlich im Sinne von Art. 3 EMRK behandelt zu werden. Er wird sich nach der Dublin-Überstellung in einer anderen Situation als bei seiner früheren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Gewalt seitens kroatischer Polizisten. Daran vermag der Umstand, dass ein rechtliches Vorgehen möglicherweise mit grösseren Hürden und Schwierigkeiten verbunden sein könnte als in der Schweiz, nichts zu ändern (vgl. etwa Urteil des BVGer D-1686/2023 vom 5. April 2023 E. 6.3). Im Übrigen steht ihm die Möglichkeit offen, die vor Ort tätigen karitativen Organisationen zu kontaktieren.</w:t>
      </w:r>
    </w:p>
    <w:p>
      <w:r>
        <w:rPr>
          <w:b/>
        </w:rPr>
        <w:t>E. 7.3</w:t>
      </w:r>
    </w:p>
    <w:p>
      <w:r>
        <w:t>Sodann steht auch der aktenkundige Gesundheitszustand des Beschwerdeführers einer Überstellung nach Kroatien nicht entgegen (vgl. Sachverhalt Bst. C.b). Insbesondere hat die Vorinstanz zu Recht festgehalten, dass weder der Beschwerdeführer noch seine (zugewiesene) Rechtsvertretung medizinische Unterlagen zu seinem Gesundheitszustand eingereicht habe. Die unsubstantiierte Behauptung in der Beschwerde, der Beschwerdeführer sei psychisch sehr angeschlagen, wirkt - nachdem er anlässlich des Dublin-Gesprächs ausgeführt hatte, es gehe ihm im Moment gut, - nachgeschoben. Kroatien verfügt im Übrigen über eine ausreichende medizinische Infrastruktur. Die Mitgliedstaaten sind zudem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Ferner bestehen dort nebst den staatlichen Einrichtungen auch Angebote von Nichtregierungsorganisationen für die psychologische Betreuung, womit von einem genügenden psychologischen Behandlungsangebot auszugehen ist (vgl. etwa das Urteil des BVGer D-5422/2022 vom 23. Januar 2023 E. 9.3.2 m.w.H).</w:t>
      </w:r>
    </w:p>
    <w:p>
      <w:r>
        <w:rPr>
          <w:b/>
        </w:rPr>
        <w:t>E. 8</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An dieser Stelle bleibt festzuhalten, dass die Dublin-III-VO den Schutzsuchenden kein Recht einräumt, den ihren Antrag prüfenden Staat selber auszuwählen (vgl. auch BVGE 2010/45 E. 8.3). Kroatien bleibt somit zuständiger Mitgliedstaat gemäss Dublin-III-VO und ist verpflichtet, den Beschwerdeführer wiederaufzunehmen.</w:t>
      </w:r>
    </w:p>
    <w:p>
      <w:r>
        <w:rPr>
          <w:b/>
        </w:rPr>
        <w:t>E. 9</w:t>
      </w:r>
    </w:p>
    <w:p>
      <w:r>
        <w:t>Die Vorinstanz ist angesichts der vorstehenden Erwägungen auf das Asylgesuch des Beschwerdeführers zu Recht nicht eingetreten und hat seine Überstellung nach Kroatien verfügt (vgl. Art. 31a Abs. 1 Bst. b und Art. 44 AsylG). Ergänzend festzuhalten ist, dass der Eventualantrag, die Sache sei zur Neubeurteilung an das SEM zurückzuweisen, in der Beschwerde nicht begründet wird. Es liegen denn auch keine Anhaltspunkte vor, aufgrund derer zu schliessen wäre, das SEM habe den rechtserheblichen Sachverhalt unrichtig oder unvollständig festgestellt oder das rechtliche Gehör des Beschwerdeführers verletzt. Allein der Umstand, dass das SEM in seiner Länderpraxis hinsichtlich der Situation für Dublin-Rückkehrer in Kroatien respektive bezüglich der Frage, ob in Kroatien systemische Schwachstellen vorliegen, zu einer anderen Schlussfolgerung als der Beschwerdeführer gelangt, stellt keine Verletzung des Untersuchungsgrundsatzes dar. Es besteht mithin auch kein Anlass, die Sache zur Neubeurteilung an das SEM zurückzuweisen. Die Beschwerde ist abzuweisen.</w:t>
      </w:r>
    </w:p>
    <w:p>
      <w:r>
        <w:rPr>
          <w:b/>
        </w:rPr>
        <w:t>E. 10</w:t>
      </w:r>
    </w:p>
    <w:p>
      <w:r>
        <w:t>Das Beschwerdeverfahren ist mit vorliegendem Urteil abgeschlossen, weshalb sich die Anträge auf Erteilung der aufschiebenden Wirkung sowie auf Anweisung der Vollzugsbehörden, von einer Überstellung nach Kroatien abzusehen, bis das Bundesverwaltungsgericht über die vorliegende Beschwerde entschieden habe, als ebenso gegenstandslos erweisen wie das das Gesuch um Verzicht auf die Erhebung eines Kostenvorschusses.</w:t>
      </w:r>
    </w:p>
    <w:p>
      <w:r>
        <w:rPr>
          <w:b/>
        </w:rPr>
        <w:t>E. 11</w:t>
      </w:r>
    </w:p>
    <w:p>
      <w:r>
        <w:t>Das Gesuch um Gewährung der unentgeltlichen Prozessführung ist abzuweisen, da die Begehren - wie sich aus den vorstehenden Erwägungen er-gibt - als aussichtslos zu bezeichnen sind (Art. 65 Abs. 1 VwVG).</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