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D-2951/2010 vom 17. Mai 2010</w:t>
      </w:r>
    </w:p>
    <w:p>
      <w:r>
        <w:t>Bundesverwaltungsgericht, 2010-05-17, DE</w:t>
      </w:r>
    </w:p>
    <w:p>
      <w:r>
        <w:rPr>
          <w:b/>
        </w:rPr>
        <w:t xml:space="preserve">Quelle: </w:t>
      </w:r>
      <w:r>
        <w:t>https://mcp.opencaselaw.ch/entscheid/bvger_D-2951_2010</w:t>
      </w:r>
    </w:p>
    <w:p>
      <w:r>
        <w:t>FR: TAF D-2951/2010 du 17 mai 2010</w:t>
      </w:r>
    </w:p>
    <w:p>
      <w:r>
        <w:t>IT: TAF D-2951/2010 del 17 maggio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nicht in einer Amtssprache des Bundes abgefasst und trägt zudem nicht die eigenhändige Unterschrift der Beschwerdeführerin. Auf die Ansetzung einer Frist zur entsprechenden Beschwerdeverbesserung im Sinne von Art. 52 VwvG kann indessen aus prozessökonomischen Gründen verzichtet werden. Die Urheberschaft ergibt sich klar aus der Fusszeile der Beschwerdeschrift vom 6. April 2010 (Name und vollständige Adresse der Beschwerdeführerin), verbunden mit der von der Beschwerdeführerin am 17. März 2010 unterzeichneten Empfangsbestätigung bezüglich der vorinstanzlichen Verfügung. Zudem ist die spanischsprachige Beschwerdeeingabe verständlich, so dass ohne weiteres darüber befunden werden kann. Der vorliegende Entscheid ergeht indessen in deutscher Sprache (Art. 33a Abs. 2 VwVG i.V.m. Art. 6 AsylG).</w:t>
      </w:r>
    </w:p>
    <w:p>
      <w:r>
        <w:rPr>
          <w:b/>
        </w:rPr>
        <w:t>E. 1.3</w:t>
      </w:r>
    </w:p>
    <w:p>
      <w:r>
        <w:t>Die Beschwerde ist demnach - mit Ausnahme der genannten, jedoch nicht als wesentlich erachteten Mängeln (vgl. E. 1.2) -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Entscheide des Schweizerischen Bundesverwaltungsgerichts [BVGE] 2007/30 E. 5.7).</w:t>
      </w:r>
    </w:p>
    <w:p>
      <w:r>
        <w:rPr>
          <w:b/>
        </w:rPr>
        <w:t>E. 3.2</w:t>
      </w:r>
    </w:p>
    <w:p>
      <w:r>
        <w:t>Vorliegend wurde die Beschwerdeführerin von der schweizeri-schen Vertretung in Bogotá nicht zu ihrem Asylgesuch befragt. Sie hat ihre Vorbringen jedoch bereits in ihrem Asylgesuch schriftlich dargelegt und dokumentiert und erhielt danach mit Zwischenverfügung des BFM vom 8. Dezember 2009 Gelegenheit zur weiteren Konkretisierung ihrer Asylgründe; gleichzeitig wurde ihr auch das rechtliche Gehör im Hinblick auf die in Erwägung gezogene Abweisung des Asylgesuchs gewährt. Sie hat von ihrem Recht auf Stellungnahme zwar keinen Gebrauch gemacht, doch der entscheidwesentliche Sachverhalt erscheint - wie das BFM in der angefochtenen Verfügung zu Recht ausführt - angesichts der schriftlichen Darlegung und Dokumentierung der Asylgründe soweit erstellt, dass die entscheidrelevanten Elemente vorliegen. Das BFM hat den verfahrensrechtlichen Anforderungen damit Genüge getan.</w:t>
      </w:r>
    </w:p>
    <w:p>
      <w:r>
        <w:rPr>
          <w:b/>
        </w:rPr>
        <w:t>E. 3.3</w:t>
      </w:r>
    </w:p>
    <w:p>
      <w:r>
        <w:t>Die Beschwerdeführerin hat in dem von ihr am 21. Dezember 2006 ausgefüllten Fragebogen der schweizerischen Vertretung in Bogotá auch ihren Sohn D._______, aufgeführt, auf den gemäss ihrem Asylgesuch vom 28. August 2006 drei erfolglose Attentatsversuche verübt worden seien. Ob sie damit auch für ihn um Asyl nachsuchen wollte, geht aus den Unterlagen nicht klar hervor. Da der Sohn im damaligen Zeitpunkt jedoch bereits volljährig war, hätte er selber - falls gewünscht - ein Asylgesuch einreichen müssen. Die vorliegende Verfügung des BFM vom 1. März 2010 bezieht sich denn auch zu Recht nur auf die Beschwerdeführerin.</w:t>
      </w:r>
    </w:p>
    <w:p>
      <w:r>
        <w:rPr>
          <w:b/>
        </w:rPr>
        <w:t>E. 4.1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die angesichts bloss redaktioneller Änderungen bei der letzten Totalrevision des Asylgesetzes nach wie vor Gültigkeit hat).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Nach Prüfung der Akten gelangt das Bundesverwaltungsgericht zunächst zum Schluss, dass die Vorinstanz zutreffend festgestellt hat, die Beschwerdeführerin habe in ihrem Gesuch keine besonders nahen Beziehungen zur Schweiz geltend gemacht. Gemäss dem von der Beschwerdeführerin am 21. Dezember 2006 ausgefüllten Fragebogen der schweizerischen Vertretung in Bogotá verfügt sie in der Schweiz weder über Verwandte noch Bekannte. Im Weiteren hat das BFM zu Recht erwogen, dass es der Beschwerdeführerin zuzumuten sei, in einem anderen Land um Asylgewährung nachzusuchen (Art. 52 Abs. 2 AsylG). So sind beispielsweise die Nachbarstaaten Brasilien, Ecuador, Panama und Peru Vertragsparteien sowohl des Abkommens vom 28. Juli 1951 über die Rechtsstellung der Flüchtlinge (FK, SR 0.142.30)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 insbesondere in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der Beschwerdeführerin praktisch unmöglich oder objektiv unzumutbar, sich in einen anderen Staat - insbesondere in einen der Nachbarstaaten Kolumbiens - zu begeben (vgl. EMARK 2004 Nr. 20 und 1997 Nr. 15). Dies gilt umso mehr, als dass es sich bei der Beschwerdeführerin nicht um eine landesweit bekannte Persönlichkeit handelt, die aufgrund einer besonders exponierten Stellung auch bei einer Flucht ins nahe Ausland allenfalls befürchten müsste, verfolgt zu werden. Die Ausführungen in der Beschwerdeeingabe vermögen an dieser Einschätzung nichts zu ändern.</w:t>
      </w:r>
    </w:p>
    <w:p>
      <w:r>
        <w:rPr>
          <w:b/>
        </w:rPr>
        <w:t>E. 5.2</w:t>
      </w:r>
    </w:p>
    <w:p>
      <w:r>
        <w:t>Bei dieser Sachlage kann letztlich offen bleiben, ob sich die Beschwerdeführerin allfälligen Bedrohungen - sie brachte leidvolle Geschehnisse in ihrem Familienkreis vor, machte jedoch keine persönliche Verfolgungssituation geltend - allenfalls durch eine innerstaatliche Wohnsitzverlegung entziehen könnte.</w:t>
      </w:r>
    </w:p>
    <w:p>
      <w:r>
        <w:rPr>
          <w:b/>
        </w:rPr>
        <w:t>E. 5.3</w:t>
      </w:r>
    </w:p>
    <w:p>
      <w:r>
        <w:t>Zusammenfassend ist damit festzuhalten, dass die Beschwerdeführerin aufgrund der Akten über keine Beziehungsnähe zur Schweiz verfügt, hingegen die Möglichkeit der anderweitigen Schutzsuche hat. Das BFM hat der Beschwerdeführerin daher zu Recht die Einreise verweigert und das Asylgesuch abgelehnt.</w:t>
      </w:r>
    </w:p>
    <w:p>
      <w:r>
        <w:rPr>
          <w:b/>
        </w:rPr>
        <w:t>E. 6</w:t>
      </w:r>
    </w:p>
    <w:p>
      <w:r>
        <w:t>Aus diesen Erwägungen ergibt sich, dass die angefochtene Verfügung Bundesrecht nicht verletzt, den rechtserheblichen Sachverhalt im Ergebnis richtig und vollständig feststellt und angemessen ist (Art. 106 Abs. 1 AsylG). Die Beschwerde ist deshalb abzuweisen.</w:t>
      </w:r>
    </w:p>
    <w:p>
      <w:r>
        <w:rPr>
          <w:b/>
        </w:rPr>
        <w:t>E. 7</w:t>
      </w:r>
    </w:p>
    <w:p>
      <w:r>
        <w:t>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