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D-294/2008 vom 12. April 2011</w:t>
      </w:r>
    </w:p>
    <w:p>
      <w:r>
        <w:t>Bundesverwaltungsgericht, 2011-04-12, DE</w:t>
      </w:r>
    </w:p>
    <w:p>
      <w:r>
        <w:rPr>
          <w:b/>
        </w:rPr>
        <w:t xml:space="preserve">Quelle: </w:t>
      </w:r>
      <w:r>
        <w:t>https://mcp.opencaselaw.ch/entscheid/bvger_D-294_2008</w:t>
      </w:r>
    </w:p>
    <w:p>
      <w:r>
        <w:t>FR: TAF D-294/2008 du 12 avril 2011</w:t>
      </w:r>
    </w:p>
    <w:p>
      <w:r>
        <w:t>IT: TAF D-294/2008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Art. 105 AsylG i.V.m. Art. 37 VGG und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vorab damit, er sei noch im Zeitpunkt seiner Ausreise behördlich gesucht worden. Zu­nächst sei er am 27. November 2005 in der Nähe von G._______ von Angehörigen der srilankischen Armee einen Tag lang festgehalten wor­den, weil er während des Märtyrerfestes der LTTE an einem Denkmal Öl­lampen angezündet habe. Zwei Tage nach seiner damaligen Freilas­sung sei er abermals gesucht worden. Schliesslich habe er im Mai 2007 in Co­lombo vernommen, dass ihn die srilankische Armee in seiner Heimatge­gend erneut gesucht habe.</w:t>
      </w:r>
    </w:p>
    <w:p>
      <w:r>
        <w:rPr>
          <w:b/>
        </w:rPr>
        <w:t>E. 4.1.1</w:t>
      </w:r>
    </w:p>
    <w:p>
      <w:r>
        <w:t>Einleitend ist festzuhalten, dass die srilankische Armee den Be­schwerdeführer im November 2005 nicht nach einem Tag freigelassen hätte, wenn sie ihn tatsächlich politischer Aktivitäten zu­gunsten der LTTE verdächtigt hätte. Seine damalige Freilassung spricht - Glaubhaftigkeit der entsprechenden Sachverhaltsvorbringen voraus­gesetzt - dafür, dass die srilankische Armee ihn keines nennenswerten Engagements für die LTTE verdächtigt hat. Vor diesem Hin­tergrund ist auch seine Behauptung, zwei Tage später bezie­hungsweise im Mai 2007 erneut seitens der srilanki­schen Armee gesucht worden zu sein, nicht plausibel beziehungswei­se unglaubhaft. Bei die­ser Sachlage kann die Frage offen bleiben, ob die angebliche Festnahme des Be­schwerdeführers am 27. No­vember 2005 zufolge der gravierenden Diver­genzen zwischen der Sach­verhaltsdarstellung in den Schreiben von J._______ und der HRCSL vom 24. Dezember 2005 im Verhältnis zu sei­nen eigenen Ausfüh­rungen anlässlich des Asylverfahrens überhaupt glaubhaft ist. Als unglaub­haft erweist sich demgegenüber die im - erst auf Beschwerdeebe­ne eingereichten - Bestätigungsschreiben der Police Head­quarters Colombo vom 21. Dezember 2007 enthaltene Darstellung, der Beschwerdeführer sei im März 2006 in der Region von Colom­bo festge­nommen und in der Folge in ein Gerichtsverfahren wegen Zugehörig­keit zu einer militanten tamilischen Gruppierung verwickelt gewe­sen, hielt sich der Beschwerdeführer doch gemäss seinen Angaben anlässlich der Befragungen durch die Schweizer Asylbehörden in besag­tem Zeitraum gar nicht in der Region Colombo auf. Das fragliche Bestäti­gungsschreiben hat demnach nur Gefälligkeitscharakter. Darüber hinaus hat er weitere Unterstützungshandlungen für die LTTE nach seiner angeb­li­chen Freilassung am 28. November 2005 ausdrücklich verneint (vgl. act. A8/15 S. 11 oben), weshalb auch keine Gründe ersichtlich sind, welche ein nachträgliches Interesse der Behörden an sei­ner Person ge­weckt haben könnten.</w:t>
      </w:r>
    </w:p>
    <w:p>
      <w:r>
        <w:rPr>
          <w:b/>
        </w:rPr>
        <w:t>E. 4.1.2</w:t>
      </w:r>
    </w:p>
    <w:p>
      <w:r>
        <w:t>Nach dem Gesagten bestehen keine glaubhaften Hinweise dafür, dass die Behörden den Beschwerdeführer im Zeitpunkt sei­ner Ausreise aus der Heimat beziehungsweise zu einem früheren Zeit­punkt konkreter Verbindungen zu den LTTE oder einer anderen verbotenen mi­litanten tamili­schen Organisation verdächtigt hätten. Ferner sind keine ge­nügend konkreten Hinweise dafür zu erkennen, welche darauf hindeuten, dass der Beschwerdeführer im Falle einer Rückkehr nach Colombo mit erhebli­cher Wahrscheinlich­keit damit zu rechnen hat, in absehbarer Zukunft sei­tens der hei­matlichen Behörden Verfolgungsmassnahmen im Sinne von Art. 3 AsylG ausgesetzt zu werden. Einer allfälligen Sicherheitsüberprü­fung des Beschwerdeführers am Flughafen nach einer Rückkehr in die Hei­mat käme ebenso wenig wie späteren Personenkontrollen im Lande selbst asylrechtlich erheblicher Charakter zu, da die entsprechenden Mass­nahmen a pri­ori nicht darauf abzielen, den Beschwerdeführer aus ei­nem der in Art. 3 Abs. 1 AsylG genannten Gründe einem ernsthaften Nachteil auszusetzen, zielen derartige Kontrollen doch im srilankischen Ge­samtkontext primär dar­auf ab, die letzten verbleibenden tamilischen Re­bellen aufzuspüren.</w:t>
      </w:r>
    </w:p>
    <w:p>
      <w:r>
        <w:rPr>
          <w:b/>
        </w:rPr>
        <w:t>E. 4.2</w:t>
      </w:r>
    </w:p>
    <w:p>
      <w:r>
        <w:t>Soweit der Beschwerdeführer geltend macht, er habe sich während sei­nes Aufenthalts im Vanni Gebiet entgegen seiner unterschriftlichen Ein­verständ­niserklärung der Absolvierung einer militärischen Ausbildung durch die LTTE entzogen, bleibt festzuhalten, dass nach dem militäri­schen Sieg der srilankischen Armee über die tamilischen Rebellen im Mai 2009 nichts darauf hindeutet, dass die LTTE noch über die nötigen perso­nellen Ressourcen verfügen, um den Beschwerdeführer für sein da­mali­ges Versäumnis zur Verantwortung ziehen zu können.</w:t>
      </w:r>
    </w:p>
    <w:p>
      <w:r>
        <w:rPr>
          <w:b/>
        </w:rPr>
        <w:t>E. 4.3</w:t>
      </w:r>
    </w:p>
    <w:p>
      <w:r>
        <w:t>Zusammenfassend ist festzuhalten, dass es dem Beschwerdefüh­rer nicht gelungen ist, eine asylrechtlich erhebliche Verfol­gungsgefahr nachzu­weisen oder zumindest glaubhaft zu machen. Zur Ver­meidung weite­rer Wiederholungen kann im Übrigen vollumfänglich auf die Erwägun­gen in der angefochtenen Verfügung verwiesen werden. Es erüb­rigt sich daher, auf weitere Vorbringen in der Beschwerde einzuge­hen, da sie am Ergebnis nichts ändern können. Das Bundesamt hat sein Asylgesuch daher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Das Bundesverwaltungsgericht geht gestützt auf seine aus dem Jah­ren 2008 stammende Lagebeurteilung davon aus, dass sich für Tami­len, die aus den ehemals umkämpften Gebieten in der Nord- oder Ostpro­vinz stammen, die Situation im Vergleich zu rückkehrenden Tamilen, wel­che aus Colombo oder dessen Umgebung stammen, wesentlich schwieri­ger darstellt.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6.4.3</w:t>
      </w:r>
    </w:p>
    <w:p>
      <w:r>
        <w:t>Der Beschwerdeführer lebte gemäss seinen Aussagen bis Ende No­vember 2005 in F._______ in der Nähe von G._______, Nord­provinz beziehungsweise bis Juli 2006 im Vanni Gebiet. Ob es dem Be­schwerdeführer nach dem militärischen Sieg der srilankischen Armee über die LTTE im Mai 2009 heute zuzumuten wäre, dorthin zurückzukeh­ren, braucht vorliegend nicht beantwortet zu werden, da ihm - wie nachfol­gend ausgeführt wird - im Grossraum Colombo, in dem kein Krieg, Bürgerkrieg oder eine Situation allgemeiner Gewalt herrscht, eine in­nerstaatliche Aufenthaltsalternative zur Verfügung steht.</w:t>
      </w:r>
    </w:p>
    <w:p>
      <w:r>
        <w:rPr>
          <w:b/>
        </w:rPr>
        <w:t>E. 6.4.4</w:t>
      </w:r>
    </w:p>
    <w:p>
      <w:r>
        <w:t>Der Beschwerdeführer hat sich gemäss eigenen Angaben vor seiner Ausreise aus Sri Lanka beinahe ein Jahr lang in Colombo aufgehalten (vgl. act. A8/15 S. 3/4). Er lebte während dieser Zeit bei Verwandten der Frau eines in Kanada wohnhaften Onkels, die schon lange in Colombo leben (sogenannte "Colombo-Tamilen"). Wiewohl der Beschwerdeführer behauptet, jene Leute hätten ihn nach Beginn der Deportationen von nicht aus Colombo stammenden Tamilen in den Norden und Osten Sri Lankas (Mai 2007) zum Verlassen des Hauses aufgefordert, weil er sie bei einem Verbleib in Schwierigkeiten bringe (vgl. act. A8/15 S. 9 unten), hat sich die allgemeine Situation in Colombo für Tamilen entspannt. So besehen wäre es für den Beschwerdeführer aktuell wieder möglich, bei den fraglichen Verwandten der Frau seines Onkels, die ihn vor seiner Ausreise im Mai 2007 immerhin beinahe ein ganzes Jahr lang beherbergt haben, zu wohnen. Im Weiteren deutet auch der Umstand, dass sich der Beschwerdeführer in Colombo während seines früheren Aufenthalts legal einen Reisepass beschaffen konnte und trotz diverser Polizeikontrollen nie Schwierigkeiten hatte, darauf hin, dass er dort registriert war beziehungsweise über eine Aufenthaltsbewilligung verfügte. Es kann demnach davon ausgegangen werden, dass er auch heute in Colombo keine behördlichen Anstände haben sollte. Das Krite­rium des Vorhandenseins eines tragfähigen Bezie­hungsnetzes ausserhalb der Heimatregion ist demnach angesichts der Aktenlage zu bejahen. Darüber hinaus ist der Beschwerdeführer jung und - soweit aus den Akten zu entnehmen - gesund. Er hat zehn Jahre lang die Schule besucht und hat abends im elterlichen Teeladen gearbeitet (vgl. act. A1/10 S. 2 Ziff. 8 i.V.m. S. 5 Ziff. 15), womit er auch über etwas Arbeitserfahrung verfügt. Mit der finanziellen Hilfe seiner Verwandten im Heimatland (Mutter und mehrere Geschwister) sowie im Ausland (ein Onkel in Kanada [dieser kam laut Angaben des Beschwerdeführers auch für sämtliche Kosten seiner Ausreise aus Sri Lanka auf, vgl. act. A8/15 S. 11 Mitte] und eine Schwester in der Schweiz, vgl. act. A1/10 S. 3) dürfte ihm eine Reintegration im Heimatland sowie ein wirtschaftliches Fortkommen zusätzlich erleichtert werden. Der Vollzug der Wegweisung erweist sich somit nicht als unzumutbar.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6.6</w:t>
      </w:r>
    </w:p>
    <w:p>
      <w:r>
        <w:t>Zusammenfassend ergibt sich, dass die Vorinstanz den Wegweisungs­vollzug zu Recht als zulässig, zumutbar und möglich erach­tet hat. Die Anordnung der vorläufigen Aufnahme fällt mithin nicht in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Verfahrenskosten dem Be­schwerdeführer aufzuerlegen (Art. 63 Abs. 1 und 5 VwVG). Nachdem das Gesuch des Beschwerdeführers um Gewährung der unentgeltlichen Rechtspflege im Sinne von Art. 65 Abs. 1 VwVG mit Verfügung vom 24. Januar 2008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