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D-2942/2011 vom 23. Januar 2012</w:t>
      </w:r>
    </w:p>
    <w:p>
      <w:r>
        <w:t>Bundesverwaltungsgericht, 2012-01-23, DE</w:t>
      </w:r>
    </w:p>
    <w:p>
      <w:r>
        <w:rPr>
          <w:b/>
        </w:rPr>
        <w:t xml:space="preserve">Quelle: </w:t>
      </w:r>
      <w:r>
        <w:t>https://mcp.opencaselaw.ch/entscheid/bvger_D-2942_2011</w:t>
      </w:r>
    </w:p>
    <w:p>
      <w:r>
        <w:t>FR: TAF D-2942/2011 du 23 janvier 2012</w:t>
      </w:r>
    </w:p>
    <w:p>
      <w:r>
        <w:t>IT: TAF D-2942/2011 del 23 gennaio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Die Frage eines Auslieferungsgesuches stellt sich vorliegend nicht, weil sich die Beschwerdeführenden in Kolumbien aufhalten, und demnach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Abteilungen des Bundesverwaltungsgerichts entscheiden in der Regel in der Besetzung mit drei Richtern oder Richterinnen (Spruchkörper: vgl. Art. 21 VGG). Gestützt auf Art. 111a Abs. 1 AsylG kann das Gericht auch in solchen Fällen auf die Durchführung eines Schriftenwechsels verzichten.</w:t>
      </w:r>
    </w:p>
    <w:p>
      <w:r>
        <w:rPr>
          <w:b/>
        </w:rPr>
        <w:t>E. 4.1</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Allerdings kann sich eine Befragung beziehungsweise eine schriftliche Sachverhaltsabklärung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Sodann ist das Bundesamt in jedem Fall gehalten, den Verzicht auf eine Befragung in der anfechtbaren Verfügung zu begründen (BVGE a.a.O. E. 5.6 sowie 5.7).</w:t>
      </w:r>
    </w:p>
    <w:p>
      <w:r>
        <w:rPr>
          <w:b/>
        </w:rPr>
        <w:t>E. 4.2</w:t>
      </w:r>
    </w:p>
    <w:p>
      <w:r>
        <w:t>Die Beschwerdeführenden sind von der Vertretung in Bogotá nicht mündlich befragt worden. Sie haben ihre Vorbringen jedoch in ihrem Asylgesuch vom 10. September 2009 und in den folgenden Eingaben schriftlich dargelegt und dokumentiert. Ausserdem ist ihnen mit Zwischenverfügung des BFM vom 31. Mai 2010 das rechtliche Gehör im Hinblick auf die in Erwägung gezogene Abweisung der Gesuche gewährt worden. Sie haben von ihrem Recht auf Stellungnahme in der Folge Gebrauch gemacht. Aufgrund der einlässlichen Ausführungen der Beschwerdeführenden in ihrem schriftlichen Asylgesuch und den weiteren Eingaben sowie der zahlreich eingereichten Beweismittel ist der Sachverhalt - wie das BFM in der angefochtenen Verfügung zu Recht ausführt - erstellt. Schliesslich hat das BFM sowohl in seinem Schreiben vom 31. Mai 2010 als auch in seiner Verfügung vom 23. März 2011 hinlänglich zum Ausdruck gebracht, welche Gründe dazu führten, die Asylgesuche der Beschwerdeführenden abzuweisen beziehungsweise ihnen die Einreise in die Schweiz zu verweigern (vgl. Sachverhalt Bstn. D. und H.). Das BFM hat den verfahrensrechtlichen Vorschriften damit Genüge getan.</w:t>
      </w:r>
    </w:p>
    <w:p>
      <w:r>
        <w:rPr>
          <w:b/>
        </w:rPr>
        <w:t>E. 5.1</w:t>
      </w:r>
    </w:p>
    <w:p>
      <w:r>
        <w:t>Das Bundesamt kann ein im Ausland gestelltes Asylgesuch ablehnen, wenn die asylsuchenden Personen keine Verfolgung glaubhaftmachen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gelten restriktive Voraussetzungen für die Erteilung einer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beschriebene Praxis hat nach bloss redaktionellen Änderungen bei der letzten Totalrevision des Asylgesetzes nach wie vor Gültigkeit).</w:t>
      </w:r>
    </w:p>
    <w:p>
      <w:r>
        <w:rPr>
          <w:b/>
        </w:rPr>
        <w:t>E. 6.1</w:t>
      </w:r>
    </w:p>
    <w:p>
      <w:r>
        <w:t>Nach Prüfung der Akten gelangt das Bundesverwaltungsgericht zu­nächst zum Schluss, dass die Vorinstanz zutreffend festgestellt hat, die Beschwerdeführenden hätten in ihrem Gesuch keine besonders nahen Beziehungen zur Schweiz geltend gemacht. Im Weiteren hat das BFM zu Recht erwogen, dass es den Beschwerdeführenden zuzumuten sei, in einem anderen Land um Asylge­währung nachzusuchen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in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den Beschwerdeführenden praktisch unmöglich oder objektiv unzumutbar, sich in einen anderen Staat - insbesondere in einen der Nachbarstaaten Kolumbiens - zu begeben (vgl. EMARK 2004 Nr. 20 und 1997 Nr. 15).</w:t>
      </w:r>
    </w:p>
    <w:p>
      <w:r>
        <w:rPr>
          <w:b/>
        </w:rPr>
        <w:t>E. 6.2</w:t>
      </w:r>
    </w:p>
    <w:p>
      <w:r>
        <w:t>Bei dieser Sachlage kann letztlich offen bleiben, ob die Beschwer­deführenden in Kolumbien tatsächlich einer Verfolgung im Sinne von Art. 3 AsylG ausgesetzt wären oder sich allenfalls den geltend gemachten Bedrohungen seitens der FARC beziehungsweise paramilitärischen Gruppierungen durch eine innerstaatliche Wohnsitzverlegung dauerhaft entziehen könnten.</w:t>
      </w:r>
    </w:p>
    <w:p>
      <w:r>
        <w:rPr>
          <w:b/>
        </w:rPr>
        <w:t>E. 6.3</w:t>
      </w:r>
    </w:p>
    <w:p>
      <w:r>
        <w:t>Nach dem Gesagten ist zusammenfassend festzuhalten, dass die Beschwerdeführenden aufgrund der Akten über keine konkrete Beziehungsnähe zur Schweiz verfügen, hingegen die Möglichkeit der anderweitigen Schutzsuche haben. Unter diesen Umständen hat die Vorinstanz den Beschwerdeführenden zu Recht die Erteilung der Einreisebewilligung verweigert und die Asylgesuche abgewiesen.</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grundsätzlich den Beschwerdeführenden aufzuerlegen (Art. 63 Abs. 1 und 5 VwVG). Aus verwaltungsökonomischen Gründen sowie in Anwendung von Art. 63 Abs. 1 in fine VwVG und Art. 2 und 6 Bst. b des Reglements vom 21. Februar 2008 über die Kosten und Entschädigungen vor dem Bundesverwaltungsgericht (VGKE, SR 173.320.2) ist vorliegend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