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D-293/2008 vom 3. Juni 2010</w:t>
      </w:r>
    </w:p>
    <w:p>
      <w:r>
        <w:t>Bundesverwaltungsgericht, 2010-06-03, DE</w:t>
      </w:r>
    </w:p>
    <w:p>
      <w:r>
        <w:rPr>
          <w:b/>
        </w:rPr>
        <w:t xml:space="preserve">Quelle: </w:t>
      </w:r>
      <w:r>
        <w:t>https://mcp.opencaselaw.ch/entscheid/bvger_D-293_2008</w:t>
      </w:r>
    </w:p>
    <w:p>
      <w:r>
        <w:t>FR: TAF D-293/2008 du 3 juin 2010</w:t>
      </w:r>
    </w:p>
    <w:p>
      <w:r>
        <w:t>IT: TAF D-293/2008 del 3 giugno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c Ziff. 3 des Bundesgerichtsgesetzes vom 17. Juni 2005 [BGG, SR 173.110]).</w:t>
      </w:r>
    </w:p>
    <w:p>
      <w:r>
        <w:rPr>
          <w:b/>
        </w:rPr>
        <w:t>E. 1.2</w:t>
      </w:r>
    </w:p>
    <w:p>
      <w:r>
        <w:t>Die Beschwerde ist frist- und formgerecht eingereicht (Art. 50 Abs. 1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Demzufolge ist auf die Beschwerde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(ANAG, BS 1 121) aufgehoben. Gemäss Art. 126a Abs. 4 AuG gilt - unter Vorbehalt der Absätze 5-7 - für Personen, die im Zeitpunkt des Inkrafttretens der am 16. Dezember 2005 beschlossenen Änderung des Asylgesetzes sowie des AuG vorläufig aufgenommen sind, neues Recht. Der Beschwerdeführer wurde vom BFM mit Verfügung vom 30. September 2005 gestützt auf Art. 44 Abs. 2 AsylG i.V.m. Art. 14a Abs. 4 ANAG vorläufig aufgenommen. Aufgrund der genannten übergangsrechtlichen Bestimmungen ist das Vorliegen der Voraussetzungen für die Aufnahme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5.1</w:t>
      </w:r>
    </w:p>
    <w:p>
      <w:r>
        <w:t>Der Vollzug ist nicht zulässig, wenn völkerrechtliche Verpflichtungen der Schweiz einer Weiterreise der Ausländerin oder des Ausländers in den Heimat-, Herkunfts- oder in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Der Grundsatz der Nichtrückschiebung schützt nur Personen, die die Flüchtlingseigenschaft erfüllen (vgl. Mario Gattiker, Das Asyl- und Wegweisungsverfahren, 3. Aufl., Bern 1999, S. 89). Die Feststellung des BFM in seiner Verfügung vom 17. März 2000, der Beschwerdeführer erfülle die Flüchtlingseigenschaft nicht, ist unangefochten rechtskräftig geworden, weshalb das in Art. 5 AsylG verankerte Prinzip des flüchtlingsrechtlichen Non-Refoulements im vorliegenden Verfahren keine Anwendung finden kann. Eine Rückkehr des Beschwerdeführers in den kurdisch verwalteten Nordirak ist daher unter dem Aspekt von Art. 5 AsylG rechtmässig.</w:t>
      </w:r>
    </w:p>
    <w:p>
      <w:r>
        <w:rPr>
          <w:b/>
        </w:rPr>
        <w:t>E. 5.1.3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Nordirak lässt den Wegweisungsvollzug zum heutigen Zeitpunkt nicht als unzulässig erscheinen (vgl. UK Home Office, Country of Origin Information Report vom 16. September 2009 über die Kurdistan Regional Government of Iraq, Ziffern 11-21, und Country of Origin Information Report Iraq vom 10. Dezember 2009, Ziffern 7-19; zur Sicherheitslage im Nordirak vgl. Entscheide des Schweizerischen Bundesverwaltungsgerichts [BVGE] 2008/4 E. 6 S. 40 ff.).</w:t>
      </w:r>
    </w:p>
    <w:p>
      <w:r>
        <w:rPr>
          <w:b/>
        </w:rPr>
        <w:t>E. 5.1.4</w:t>
      </w:r>
    </w:p>
    <w:p>
      <w:r>
        <w:t>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die praktisch identischen Darlegungen in der Stellungnahme vom 19. September 2007 und in der Beschwerdeschrift vom 15. Januar 2008 sowie die Hinweise auf wiederholte Selbstmordanschläge seit Juli 2007 in den von der kurdischen Regionalregierung verwalteten Provinzen nichts zu ändern. Die Sicherheitssituation im Nordirak hat sich seit der Publikation des erwähnten Urteils nicht verschlechtert. In der überwiegenden Mehrheit der Berichte von Regierungs- und Nichtregierungsorganisationen sowie des UN-Sicherheitsrats wird eine insgesamt stabile Situation beschrieben (vgl. die beiden vorstehend unter E. 5.1.3 erwähnten Berichte des UK Home Office). Auch die Schweizerische Flüchtlingshilfe (SFH) spricht in einem Lagebericht vom Sommer 2008 von einer "vergleichsweise friedlichen und stabilen Situation" in den kurdischen Provinzen. Die 2007 begonnene und 2008 - in der Stellungnahme vom 19. September 2007 und in der Beschwerdeschrift vom 15. Januar 2008 erwähnte - fortgesetzte türkische Militäroffensive gegen PKK-Stellungen im Nordirak sowie grenzüberschreitende Bombenangriffe des iranischen Militärs hätten die allgemeine Sicherheitslage jedenfalls nicht beeinflusst (vgl. Michael Kirschner, SFH, Irak, Update: Aktuelle Entwicklungen, vom 14. August 2008, Ziff. 3.1, S. 9). Nach dem Gesagten erweist sich die vom Rechtsvertreter in seiner Replik vom 15. Dezember 2008 geäusserte Befürchtung, die Sicherheitslage in den drei Nordprovinzen Dohuk, Erbil und Suleimaniya könne jederzeit wieder in ein Chaos beziehungsweise eine Situation allgemeiner Gewalt umkippen (vgl. a.a.O. S. 1 Ziff. 2), als nicht stichhaltig.</w:t>
      </w:r>
    </w:p>
    <w:p>
      <w:r>
        <w:rPr>
          <w:b/>
        </w:rPr>
        <w:t>E. 5.2.2</w:t>
      </w:r>
    </w:p>
    <w:p>
      <w:r>
        <w:t>Der Beschwerdeführer vertritt sodann in der Beschwerde den Standpunkt, er stamme nicht aus den Provinzen Dohuk, Erbil beziehungsweise Suleimaniya, sondern aus der Ortschaft B._______, welche auch heute noch der Provinzhauptstadt D._______ unterstehe und damit im Zentralirak gelegen sei, wo eine Situation allgemeiner Gewalt herrsche, weshalb ein Wegweisungsvollzug weiterhin unzumutbar erscheine. Darüber hinaus lebe in C._______ einzig noch ein Onkel, zu dem er indessen seit 1998 keinen Kontakt mehr unterhalten habe, und welcher für eine sechsköpfige Familie aufkommen müsse, weshalb er in C._______ über kein tragfähiges soziales Beziehungsnetz verfüge (vgl. Replik S. 2 Ziff. 4). Wie bereits in Ziff. 5.2.1 vorstehend dargelegt, vertritt das Bundesverwaltungsgericht die Ansicht, dass die Anordnung des Wegweisungsvollzugs für alleinstehende, gesunde und junge kurdische Männer, die ursprünglich aus einer der drei Provinzen stammen oder eine längere Zeit dort gelebt haben und dort nach wie vor über ein soziales Netz oder Parteibeziehungen verfügen, in der Regel als zumutbar zu erachten ist. Eigenen Angaben zufolge wurde der Beschwerdeführer in der Provinz C._______ geboren (vgl. act. A1 S. 1 Ziff. 1.10). Wie den Akten weiter zu entnehmen ist, hat er im Jahre 1993 in C._______ einen Zigarettenladen eröffnet, den er bis Oktober 1997 betrieben hat (vgl. act. A6 S. 6). Ausserdem verfügt er in C._______ über einen grossen Bekanntenkreis (vgl. act. A6 S. 10). Schliesslich lebt nach wie vor ein Onkel des Beschwerdeführers in C._______, bei welchem er nach eigenem Bekunden zwischen September und November 1997 gelebt hat (vgl. act. A6 S. 7). All diese Angaben weisen klarerweise darauf hin, dass der Beschwerdeführer vor seiner Ausreise in die Schweiz über Jahre in C._______ gelebt und gearbeitet hat und angesichts des dortigen Bekanntenkreises sowie seines nach wie vor mit seiner Familie dort lebenden Onkels zweifellos über ein tragfähiges soziales Beziehungsnetz verfügt, weshalb das Bundesverwaltungsgericht seine Rückkehr dorthin als zumutbar erachtet. Selbst wenn seine Eltern sowie seine Geschwister aktuell nach wie vor in B._______ wohnen sollten, bleibt anzufügen, dass sich diese Ortschaft nur unweit von C._______ befindet, so dass der Beschwerdeführer auch die Möglichkeit hat, mit den engsten Familienangehörigen rege soziale Kontakte zu pflegen, zumal er sich bereits früher von C._______ aus regelmässig zu seiner in B._______ wohnhaften Familie begeben hat (vgl. act. A 6 S. 14/15). Aus den Akten und den Angaben des Beschwerdeführers ergeben sich keine konkreten Anhaltspunkte, die darauf schliessen liessen, der alleinstehende und noch relativ junge Beschwerdeführer gerate im Falle der Rückkehr in die nordirakische Provinz C._______ aus individuellen Gründen wirtschaftlicher, sozialer oder gesundheitlicher Natur in eine seine Existenz bedrohende Situation. Im Gegenteil weist seine mehrjährige Tätigkeit als Zigarettenhändler im Irak sowie die Tatsache, dass er seit vielen Jahren im Gastgewerbe in der Schweiz tätig ist, untrüglich auf einen ausgeprägteren Geschäftssinn hin, der ihm - zusammen mit den durch seine Erwerbstätigkeit in der Schweiz geäufneten finanziellen Ressourcen sowie einer allfälligen Beanspruchung einer Rückkehrhilfe - im Bestreben, sich im Heimatland eine neue Existenz aufzubauen, gewiss zugute kommen dürfte.</w:t>
      </w:r>
    </w:p>
    <w:p>
      <w:r>
        <w:rPr>
          <w:b/>
        </w:rPr>
        <w:t>E. 5.2.3</w:t>
      </w:r>
    </w:p>
    <w:p>
      <w:r>
        <w:t>In Bezug auf den Hinweis, der Beschwerdeführer befinde sich seit Anfang des Jahres 1998 in der Schweiz und habe sich beruflich wie gesellschaftlich bestens in der Schweiz integriert (vgl. Beschwerde S. 6), ist festzuhalten, dass der Frage einer allfälligen Integration in der Schweiz bei der Frage der Zumutbarkeit des Wegweisungsvollzugs in der Regel keine Bedeutung zukommen kann, zumal bei Erwachsenen mit der Revision des Asylgesetzes und dem Wegfall der Prüfung des Vorliegens einer schwerwiegenden persönlichen Notlage (Art. 44 Abs. 3 aAsylG) die entsprechende Rechtsprechung der ARK im vorliegenden Zusammenhang hinfällig geworden ist.</w:t>
      </w:r>
    </w:p>
    <w:p>
      <w:r>
        <w:rPr>
          <w:b/>
        </w:rPr>
        <w:t>E. 5.2.4</w:t>
      </w:r>
    </w:p>
    <w:p>
      <w:r>
        <w:t>Der Rechtsvertreter erhebt sodann die Rüge, ein Wegweisungsvollzug des Beschwerdeführers nach einem über zehn Jahre dauernden Aufenthalt in der Schweiz stelle eine unzumutbare, unangemessene und unverhältnismässige Massnahme dar, welche in keinem nachvollziehbaren öffentlichen Interesse liege (vgl. Replik S. 2 Ziff. 2 i.V.m. Beschwerde S. 7). An dieser Stelle bleibt indessen festzuhalten, dass die vom BFM am 30. September 2005 angeordnete vorläufige Aufnahme des Beschwerdeführers a priori nur ein zeitlich limitiertes Bleiberecht beinhaltet, da sie eine blosse Ersatzmassnahme für einen als undurchführbar erachteten Wegweisungsvollzug darstellt (Art. 83 Abs. 1 AuG). Entsprechend wird eine vorläufige Aufnahme jeweils für eine Dauer von 12 Monaten erteilt und jeweils (um 12 Monate) verlängert, wenn der Wegweisungsvollzug weiterhin undurchführbar bleibt (Art. 85 Abs. 1 AuG). Erachtet das BFM indessen im Rahmen seiner periodischen Überprüfung die Voraussetzungen einer vorläufigen Aufnahme als nicht mehr gegeben, ist es von Gesetzes wegen verpflichtet, die vorläufige Aufnahme aufzuheben und den Vollzug der Wegweisung anzuordnen (Art. 84 Abs. 1 und 2 AuG). Das Rechtsinstitut der vorläufigen Aufnahme bietet nach dem Gesagten gerade keinen Raum, um eine Verhältnismässigkeitsprüfung im gerügten Sinne durchführen zu können (vgl. zum Ganzen beispielsweise WALTER STÖCKLI, Asyl, in: Uebersax/Rudin/Hugi/Yar/Geiser [Hrsg.], Ausländerrecht, 2. Aufl., Basel 2009, Rz. 11.75 f.).</w:t>
      </w:r>
    </w:p>
    <w:p>
      <w:r>
        <w:rPr>
          <w:b/>
        </w:rPr>
        <w:t>E. 5.2.5</w:t>
      </w:r>
    </w:p>
    <w:p>
      <w:r>
        <w:t>Gestützt auf die vorstehenden Erwägungen ist der Vollzug der Wegweisung sowohl vor dem Hintergrund der allgemeinen Lage im Nordirak als auch in individueller Hinsicht als zumutbar zu erachten.</w:t>
      </w:r>
    </w:p>
    <w:p>
      <w:r>
        <w:rPr>
          <w:b/>
        </w:rPr>
        <w:t>E. 5.3</w:t>
      </w:r>
    </w:p>
    <w:p>
      <w:r>
        <w:t>Schliesslich bleibt gemäss Art. 83 Abs. 2 AuG zu prüfen, ob der Vollzug der Wegweisung möglich ist. Es bestehen direkte Flugverbindungen zwischen Europa und dem Nordirak (seit anfangs Februar 2010 etwa mit "Air Berlin" von München nach Erbil). Die Beschaffung der für die Rückkehr notwendigen Reisedokumente obliegt dem Beschwerdeführer (Art. 8 Abs. 4 AsylG). Der Vollzug der Wegweisung ist somit auch als möglich zu bezeichnen.</w:t>
      </w:r>
    </w:p>
    <w:p>
      <w:r>
        <w:rPr>
          <w:b/>
        </w:rPr>
        <w:t>E. 5.4</w:t>
      </w:r>
    </w:p>
    <w:p>
      <w:r>
        <w:t>Die bisherigen Bestimmungen betreffend vorläufige Aufnahme infolge einer schwerwiegenden persönlichen Notlage (Art. 14a Abs. 4bis ANAG i.V.m. Art. 44 Abs. 3-5 AsylG in der Fassung vom 26. Juni 1998; AS 1999 2273)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Im vorliegenden Fall sind die zeitlichen Voraussetzungen für die Anwendung von Art. 14 Abs. 2 AsylG erfüllt, hält sich der Beschwerdeführer doch seit Anfang des Jahres 1998, mithin seit mehr als den nunmehr erforderlichen fünf Jahren, in der Schweiz auf. Es ist ihm deshalb unbenommen, bei den zuständigen kantonalen Behörden ein Gesuch um Erteilung einer fremdenpolizeilichen Aufenthaltsbewilligung aus humanitären Gründen zu stellen.</w:t>
      </w:r>
    </w:p>
    <w:p>
      <w:r>
        <w:rPr>
          <w:b/>
        </w:rPr>
        <w:t>E. 6</w:t>
      </w:r>
    </w:p>
    <w:p>
      <w:r>
        <w:t>Zusammenfassend ist festzustellen, dass die Vorinstanz den Vollzug der Wegweisung in den Nordirak zu Recht als zulässig, zumutbar und möglich im Sinne von Art. 83 Abs. 1-4 AuG erachtet hat. Die vom BFM verfügte Aufhebung der vorläufigen Aufnahme ist daher zu bestätigen.</w:t>
      </w:r>
    </w:p>
    <w:p>
      <w:r>
        <w:rPr>
          <w:b/>
        </w:rPr>
        <w:t>E. 7</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8</w:t>
      </w:r>
    </w:p>
    <w:p>
      <w:r>
        <w:t>Bei diesem Ausgang des Verfahrens sind die Kosten desselben in Höhe von Fr. 600.-- dem Beschwerdeführer aufzuerlegen (Art. 63 Abs. 1 und 5 VwVG sowie Art. 1-3 des Reglements vom 21. Februar 2008 über die Kosten und Entschädigungen vor dem Bundesverwaltungsgericht [VGKE, SR 173.320.2]). Diese sind durch den vom Beschwerdeführer am 28. Januar 2008 einbezahlten Kostenvorschuss in selber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