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D-2939/2014 vom 25. Juli 2014</w:t>
      </w:r>
    </w:p>
    <w:p>
      <w:r>
        <w:t>Bundesverwaltungsgericht, 2014-07-25, DE</w:t>
      </w:r>
    </w:p>
    <w:p>
      <w:r>
        <w:rPr>
          <w:b/>
        </w:rPr>
        <w:t xml:space="preserve">Quelle: </w:t>
      </w:r>
      <w:r>
        <w:t>https://mcp.opencaselaw.ch/entscheid/bvger_D-2939_2014</w:t>
      </w:r>
    </w:p>
    <w:p>
      <w:r>
        <w:t>FR: TAF D-2939/2014 du 25 juillet 2014</w:t>
      </w:r>
    </w:p>
    <w:p>
      <w:r>
        <w:t>IT: TAF D-2939/2014 del 25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[AsylG, SR 142.31];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Der Zeitpunkt der Eröffnung der angefochtenen Verfügung steht mangels Rückschein bei den Akten nicht fest. Aus den Akten ist er­sichtlich, dass die vorinstanzliche Verfügung vom 4. April 2014 von der Schweizerischen Vertretung in Colombo am 22. April 2014 versandt wurde. Somit ist davon auszugehen, dass die am 22. Mai 2014 bei der Schweizerischen Vertretung eingetroffene Beschwerde (vgl. Sachver­halt Bst. F) rechtzeitig erfolgt ist.</w:t>
      </w:r>
    </w:p>
    <w:p>
      <w:r>
        <w:rPr>
          <w:b/>
        </w:rPr>
        <w:t>E. 1.5</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mit Ausnahme des genannten, jedoch als nicht wesentlich erachteten Mangels - formgerecht eingereichte Beschwerde ist einzutreten (Art. 108 AsylG sowie Art. 105 AsylG i.V.m.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nachfolgenden Gründen ist die Einschätzung des BFM in der angefochtenen Verfügung zu bestätigen, wonach sich aus den wesentlichen Vorbringen des Beschwerdeführers, nach Beendigung des Bürgerkrieges - bei dem er bei einem Bombenanschlag im Jahre 2009 schwer verletzt und sein Sohn getötet worden sei - seien er und seine Familie unter dem Vorwurf, dass sein Sohn Mitglied der LTTE gewesen sei, von Unbekannten bedroht worden, keine asylrelevante Gefährdungssituation des Beschwerdeführers ergebe.</w:t>
      </w:r>
    </w:p>
    <w:p>
      <w:r>
        <w:rPr>
          <w:b/>
        </w:rPr>
        <w:t>E. 5.4</w:t>
      </w:r>
    </w:p>
    <w:p>
      <w:r>
        <w:t>Mit der Vorinstanz ist festzuhalten, dass nicht auszuschliessen ist, dass die Beschwerdeführenden auch nach Beendigung des Bürgerkrieges weiterhin unter Beobachtung der sri-lankischen Behörden standen, indessen waren sie keinen behördlichen Behelligungen erforderlicher Intensität ausgesetzt, was auf ein fehlendes Verfolgungsinteresse des sri-lankischen Staates schliessen lässt. Es gibt somit keine konkreten Anhaltspunkte für eine begründete Furcht der Beschwerdeführenden vor künftiger Verfolgung. In diesem Zusammenhang ist im Weiteren auf die veränderte allgemeine Situation in Sri Lanka hinzuweisen. Nach Beendigung des Krieges und der endgültigen Niederlage der LTTE ist die Gefahr für den Beschwerdeführer, erneut der Zugehörigkeit zu den LTTE verdächtigt zu werden, tendenziell geringer geworden. Indessen haben die sri-lankischen Be­hörden - namentlich im Grossraum Colom­bo - die Si­cherheitsmass­nahmen nicht gelockert. Daher besteht die Möglichkeit, überall und jederzeit von sri-lankischem Si­cher­heits­personal einer minuziösen Personenkontrolle unterzogen und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An dieser Einschätzung vermögen weder die eingereichten Beweismittel, welche lediglich die als glaubhaft erachteten Vorbringen der Beschwerdeführenden stützen, noch die Argumente in der Beschwerde, welche sich in einer Wiederholung der im vorinstanzlichen Verfahren geltend gemachten Vorbringen erschöpfen, etwas zu ändern. 6.Somit ist es den Beschwerdeführenden nicht gelungen, eine aktuelle Gefährdung im Sinne von Art. 3 AsylG aufzuzeigen, welche die Bewilligung der Ein­reise in die Schweiz rechtfertigen würde. Die Schutzbedürftigkeit der Beschwerdeführenden im Sinne von alt Art. 20 i.V.m. Art. 3 AsylG ist nicht gegeben. Im Übrigen ist auch eine Beziehungsnähe der Beschwerdeführenden zur Schweiz zu verneinen (alt Art. 52 Abs. 2 AsylG). Das BFM hat den Beschwerdeführenden zu Recht die Einreise in die Schweiz verweigert und deren Asylgesuche abgelehnt. 7.Aus diesen Erwägungen ergibt sich, dass die angefochtene Verfügung das Bundesrecht nicht verletzt und den rechtserheblichen Sachverhalt richtig sowie vollständig feststellt (Art. 106 Abs. 1 AsylG). Die Beschwerde ist daher abzuweisen. 8.Bei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